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B24A" w14:textId="77777777" w:rsidR="006F3F03" w:rsidRDefault="0004656D" w:rsidP="00F44D9F">
      <w:pPr>
        <w:jc w:val="center"/>
        <w:rPr>
          <w:b/>
          <w:bCs/>
        </w:rPr>
      </w:pPr>
      <w:r>
        <w:rPr>
          <w:b/>
          <w:bCs/>
          <w:noProof/>
        </w:rPr>
        <w:drawing>
          <wp:anchor distT="0" distB="0" distL="114300" distR="114300" simplePos="0" relativeHeight="251658240" behindDoc="0" locked="0" layoutInCell="0" allowOverlap="1" wp14:anchorId="4FE0B70F" wp14:editId="7ADB993B">
            <wp:simplePos x="0" y="0"/>
            <wp:positionH relativeFrom="page">
              <wp:posOffset>457200</wp:posOffset>
            </wp:positionH>
            <wp:positionV relativeFrom="page">
              <wp:posOffset>457200</wp:posOffset>
            </wp:positionV>
            <wp:extent cx="796925" cy="1283335"/>
            <wp:effectExtent l="25400" t="0" r="0" b="0"/>
            <wp:wrapTight wrapText="bothSides">
              <wp:wrapPolygon edited="0">
                <wp:start x="-688" y="0"/>
                <wp:lineTo x="-688" y="21376"/>
                <wp:lineTo x="21342" y="21376"/>
                <wp:lineTo x="21342" y="0"/>
                <wp:lineTo x="-688" y="0"/>
              </wp:wrapPolygon>
            </wp:wrapTight>
            <wp:docPr id="2" name="Picture 2" descr="YorkULogoVe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ULogoVer(600)"/>
                    <pic:cNvPicPr>
                      <a:picLocks noChangeAspect="1" noChangeArrowheads="1"/>
                    </pic:cNvPicPr>
                  </pic:nvPicPr>
                  <pic:blipFill>
                    <a:blip r:embed="rId8"/>
                    <a:srcRect/>
                    <a:stretch>
                      <a:fillRect/>
                    </a:stretch>
                  </pic:blipFill>
                  <pic:spPr bwMode="auto">
                    <a:xfrm>
                      <a:off x="0" y="0"/>
                      <a:ext cx="796925" cy="1283335"/>
                    </a:xfrm>
                    <a:prstGeom prst="rect">
                      <a:avLst/>
                    </a:prstGeom>
                    <a:noFill/>
                    <a:ln w="9525">
                      <a:noFill/>
                      <a:miter lim="800000"/>
                      <a:headEnd/>
                      <a:tailEnd/>
                    </a:ln>
                  </pic:spPr>
                </pic:pic>
              </a:graphicData>
            </a:graphic>
          </wp:anchor>
        </w:drawing>
      </w:r>
      <w:r w:rsidR="006F3F03">
        <w:rPr>
          <w:b/>
          <w:bCs/>
        </w:rPr>
        <w:t>YORK UNIVERSITY</w:t>
      </w:r>
    </w:p>
    <w:p w14:paraId="051A872B" w14:textId="77777777" w:rsidR="006F3F03" w:rsidRPr="008F64FC" w:rsidRDefault="006F3F03" w:rsidP="00F44D9F">
      <w:pPr>
        <w:jc w:val="center"/>
        <w:rPr>
          <w:b/>
          <w:bCs/>
        </w:rPr>
      </w:pPr>
      <w:r w:rsidRPr="008F64FC">
        <w:rPr>
          <w:b/>
          <w:bCs/>
        </w:rPr>
        <w:t>Department of Social Science/ FLAPS</w:t>
      </w:r>
    </w:p>
    <w:p w14:paraId="65C03EA2" w14:textId="77777777" w:rsidR="006F3F03" w:rsidRPr="008F64FC" w:rsidRDefault="00C86331" w:rsidP="00F44D9F">
      <w:pPr>
        <w:jc w:val="center"/>
        <w:rPr>
          <w:b/>
          <w:bCs/>
        </w:rPr>
      </w:pPr>
      <w:r>
        <w:rPr>
          <w:b/>
          <w:bCs/>
        </w:rPr>
        <w:t>AP/SOSC 2350 6.0 (2014/15</w:t>
      </w:r>
      <w:r w:rsidR="006F3F03" w:rsidRPr="008F64FC">
        <w:rPr>
          <w:b/>
          <w:bCs/>
        </w:rPr>
        <w:t>)</w:t>
      </w:r>
    </w:p>
    <w:p w14:paraId="1B2FA7AB" w14:textId="77777777" w:rsidR="006F3F03" w:rsidRPr="008F64FC" w:rsidRDefault="006F3F03" w:rsidP="00F44D9F">
      <w:pPr>
        <w:jc w:val="center"/>
        <w:rPr>
          <w:b/>
          <w:bCs/>
        </w:rPr>
      </w:pPr>
      <w:r w:rsidRPr="008F64FC">
        <w:rPr>
          <w:b/>
          <w:bCs/>
        </w:rPr>
        <w:t>Law &amp; Society</w:t>
      </w:r>
    </w:p>
    <w:p w14:paraId="0E40044B" w14:textId="77777777" w:rsidR="006F3F03" w:rsidRDefault="006F3F03" w:rsidP="00F44D9F">
      <w:pPr>
        <w:jc w:val="center"/>
      </w:pPr>
    </w:p>
    <w:p w14:paraId="48F17B6D" w14:textId="77777777" w:rsidR="006F3F03" w:rsidRDefault="006F3F03" w:rsidP="00C529B1">
      <w:pPr>
        <w:jc w:val="both"/>
      </w:pPr>
      <w:r w:rsidRPr="008F64FC">
        <w:rPr>
          <w:b/>
          <w:bCs/>
        </w:rPr>
        <w:t>Course Director</w:t>
      </w:r>
      <w:r w:rsidR="005A7D56">
        <w:t>: Prof. Am</w:t>
      </w:r>
      <w:r w:rsidR="005A7D56">
        <w:rPr>
          <w:lang w:val="fr-FR"/>
        </w:rPr>
        <w:t>élie Barras</w:t>
      </w:r>
      <w:r>
        <w:tab/>
      </w:r>
      <w:r>
        <w:tab/>
      </w:r>
      <w:r w:rsidR="00C86331">
        <w:rPr>
          <w:b/>
          <w:bCs/>
        </w:rPr>
        <w:t>Co-Director</w:t>
      </w:r>
      <w:r w:rsidR="005A7D56">
        <w:t>: Prof. Dena Demos</w:t>
      </w:r>
    </w:p>
    <w:p w14:paraId="7318D7B1" w14:textId="5A26B5C3" w:rsidR="006F3F03" w:rsidRDefault="005A7D56" w:rsidP="00C529B1">
      <w:pPr>
        <w:jc w:val="both"/>
      </w:pPr>
      <w:r>
        <w:t>abarras@yorku.ca</w:t>
      </w:r>
      <w:r w:rsidR="006F3F03">
        <w:tab/>
      </w:r>
      <w:r w:rsidR="006F3F03">
        <w:tab/>
      </w:r>
      <w:r w:rsidR="006F3F03">
        <w:tab/>
      </w:r>
      <w:r w:rsidR="006F3F03">
        <w:tab/>
      </w:r>
      <w:r w:rsidR="006F3F03">
        <w:tab/>
      </w:r>
      <w:r w:rsidR="00C86331">
        <w:t xml:space="preserve"> </w:t>
      </w:r>
      <w:r w:rsidR="00105FD6">
        <w:t>ddemos@yorku.ca</w:t>
      </w:r>
    </w:p>
    <w:p w14:paraId="1B178C00" w14:textId="3E43DE4C" w:rsidR="006F3F03" w:rsidRDefault="00C86331" w:rsidP="00C529B1">
      <w:pPr>
        <w:jc w:val="both"/>
      </w:pPr>
      <w:r>
        <w:t>416-736-</w:t>
      </w:r>
      <w:r w:rsidRPr="00105FD6">
        <w:rPr>
          <w:lang w:val="fr-FR"/>
        </w:rPr>
        <w:t>2100 e</w:t>
      </w:r>
      <w:r w:rsidR="005A7D56" w:rsidRPr="00105FD6">
        <w:rPr>
          <w:lang w:val="fr-FR"/>
        </w:rPr>
        <w:t xml:space="preserve">xt </w:t>
      </w:r>
      <w:r w:rsidR="00105FD6" w:rsidRPr="00105FD6">
        <w:rPr>
          <w:lang w:val="fr-FR"/>
        </w:rPr>
        <w:t>77619</w:t>
      </w:r>
      <w:r w:rsidR="002770CE" w:rsidRPr="00105FD6">
        <w:rPr>
          <w:lang w:val="fr-FR"/>
        </w:rPr>
        <w:tab/>
      </w:r>
      <w:r w:rsidR="002770CE">
        <w:tab/>
      </w:r>
      <w:r w:rsidR="002770CE">
        <w:tab/>
      </w:r>
      <w:r w:rsidR="002770CE">
        <w:tab/>
        <w:t xml:space="preserve">416-736-2100 ext </w:t>
      </w:r>
      <w:r w:rsidR="00105FD6">
        <w:t>33628</w:t>
      </w:r>
    </w:p>
    <w:p w14:paraId="7162A8A6" w14:textId="76371DC6" w:rsidR="006F3F03" w:rsidRDefault="002770CE" w:rsidP="00C529B1">
      <w:pPr>
        <w:jc w:val="both"/>
      </w:pPr>
      <w:r>
        <w:t>726</w:t>
      </w:r>
      <w:r w:rsidR="006F3F03">
        <w:t xml:space="preserve"> </w:t>
      </w:r>
      <w:r>
        <w:t xml:space="preserve">South </w:t>
      </w:r>
      <w:r w:rsidR="006F3F03">
        <w:t>Ross</w:t>
      </w:r>
      <w:r w:rsidR="00105FD6">
        <w:tab/>
      </w:r>
      <w:r w:rsidR="00105FD6">
        <w:tab/>
      </w:r>
      <w:r w:rsidR="00105FD6">
        <w:tab/>
      </w:r>
      <w:r w:rsidR="00105FD6">
        <w:tab/>
      </w:r>
      <w:r w:rsidR="00105FD6">
        <w:tab/>
        <w:t>710 North Ross</w:t>
      </w:r>
    </w:p>
    <w:p w14:paraId="70ECE189" w14:textId="36944610" w:rsidR="006F3F03" w:rsidRDefault="00C86331" w:rsidP="00105FD6">
      <w:pPr>
        <w:jc w:val="both"/>
      </w:pPr>
      <w:r>
        <w:t>Office Hours:</w:t>
      </w:r>
      <w:r w:rsidR="00CB3372">
        <w:t xml:space="preserve"> Tuesday 14.30-16.3</w:t>
      </w:r>
      <w:r w:rsidR="0097384C">
        <w:t>0</w:t>
      </w:r>
      <w:r w:rsidR="0097384C">
        <w:tab/>
      </w:r>
      <w:r w:rsidR="0097384C">
        <w:tab/>
        <w:t xml:space="preserve">             Office Hours: </w:t>
      </w:r>
      <w:r w:rsidR="00105FD6">
        <w:t xml:space="preserve">Mondays 10.30-12.30 </w:t>
      </w:r>
      <w:r>
        <w:t xml:space="preserve"> </w:t>
      </w:r>
    </w:p>
    <w:p w14:paraId="4A954113" w14:textId="77777777" w:rsidR="006F3F03" w:rsidRDefault="006F3F03" w:rsidP="00C529B1">
      <w:pPr>
        <w:jc w:val="both"/>
      </w:pPr>
    </w:p>
    <w:p w14:paraId="5AEE5CED" w14:textId="77777777" w:rsidR="006F3F03" w:rsidRDefault="006F3F03" w:rsidP="00C529B1">
      <w:pPr>
        <w:jc w:val="both"/>
      </w:pPr>
      <w:r w:rsidRPr="008F64FC">
        <w:rPr>
          <w:b/>
          <w:bCs/>
        </w:rPr>
        <w:t>Teaching Assistants</w:t>
      </w:r>
      <w:r>
        <w:t xml:space="preserve">: </w:t>
      </w:r>
    </w:p>
    <w:p w14:paraId="056FE6F0" w14:textId="77777777" w:rsidR="006F3F03" w:rsidRDefault="006F3F03" w:rsidP="00C529B1">
      <w:pPr>
        <w:jc w:val="both"/>
      </w:pPr>
    </w:p>
    <w:p w14:paraId="30FB3BD0" w14:textId="77777777" w:rsidR="006F3F03" w:rsidRDefault="006F3F03" w:rsidP="00C529B1">
      <w:pPr>
        <w:jc w:val="both"/>
      </w:pPr>
      <w:r w:rsidRPr="00017F3D">
        <w:rPr>
          <w:b/>
          <w:bCs/>
        </w:rPr>
        <w:t>Course Description</w:t>
      </w:r>
      <w:r>
        <w:t>:</w:t>
      </w:r>
    </w:p>
    <w:p w14:paraId="11B36A06" w14:textId="77777777" w:rsidR="00A46E56" w:rsidRDefault="00A46E56" w:rsidP="00C529B1">
      <w:pPr>
        <w:jc w:val="both"/>
      </w:pPr>
    </w:p>
    <w:p w14:paraId="744CEBC1" w14:textId="291F8117" w:rsidR="006F3F03" w:rsidRDefault="006F3F03" w:rsidP="00A46E56">
      <w:pPr>
        <w:jc w:val="both"/>
      </w:pPr>
      <w:r w:rsidRPr="00C529B1">
        <w:t>Founders of Law &amp; Society have said that "law is too important to leave to lawyers". It is from this point that the course jumps off: together we will examine law using a variety of eclectic and interrelated disciplines including sociology, anthropology, history, political science, criminology</w:t>
      </w:r>
      <w:r>
        <w:t>,</w:t>
      </w:r>
      <w:r w:rsidRPr="00C529B1">
        <w:t xml:space="preserve"> philosophy, and psychology. Using these social science discip</w:t>
      </w:r>
      <w:r>
        <w:t>lines</w:t>
      </w:r>
      <w:r w:rsidR="003915EF">
        <w:t xml:space="preserve"> and interdisciplinary methods</w:t>
      </w:r>
      <w:r>
        <w:t>, the interaction between law and s</w:t>
      </w:r>
      <w:r w:rsidRPr="00C529B1">
        <w:t>ociety will be evaluated. Among the topics to be discussed are aspects of social control, both in legal and non-legal modes, the influence of societal change and social differentiation, the broad functions of law in society and types of legal systems and thought. The course also examines law, policy and values in Canada with emphasis on specific issues that illustrate the interaction between law and social change.</w:t>
      </w:r>
      <w:r w:rsidR="00A46E56">
        <w:t xml:space="preserve"> Four key themes are weaved through this course: rights organizing, separation of power, colonialism and social change.</w:t>
      </w:r>
    </w:p>
    <w:p w14:paraId="21DD4D23" w14:textId="77777777" w:rsidR="006F3F03" w:rsidRPr="00C529B1" w:rsidRDefault="006F3F03" w:rsidP="00C529B1">
      <w:pPr>
        <w:jc w:val="both"/>
      </w:pPr>
    </w:p>
    <w:p w14:paraId="41E4FC33" w14:textId="77777777" w:rsidR="006F3F03" w:rsidRPr="00C529B1" w:rsidRDefault="006F3F03" w:rsidP="00C529B1">
      <w:pPr>
        <w:jc w:val="both"/>
      </w:pPr>
      <w:r w:rsidRPr="00C529B1">
        <w:t>This course is required of all students registered in the Honours Program in Law &amp; Society.</w:t>
      </w:r>
      <w:r>
        <w:t xml:space="preserve"> S</w:t>
      </w:r>
      <w:r w:rsidRPr="00C529B1">
        <w:t>tudents must achieve a C+ or higher in this required course in order to continue in the Law &amp; Society Program</w:t>
      </w:r>
      <w:r>
        <w:t>.</w:t>
      </w:r>
    </w:p>
    <w:p w14:paraId="0F00185D" w14:textId="77777777" w:rsidR="00A46E56" w:rsidRDefault="00A46E56" w:rsidP="00C529B1">
      <w:pPr>
        <w:jc w:val="both"/>
        <w:rPr>
          <w:b/>
          <w:bCs/>
        </w:rPr>
      </w:pPr>
    </w:p>
    <w:p w14:paraId="08AC0B1F" w14:textId="77777777" w:rsidR="006F3F03" w:rsidRDefault="006F3F03" w:rsidP="00C529B1">
      <w:pPr>
        <w:jc w:val="both"/>
      </w:pPr>
      <w:r w:rsidRPr="00C529B1">
        <w:rPr>
          <w:b/>
          <w:bCs/>
        </w:rPr>
        <w:t>Pre/co-requisite</w:t>
      </w:r>
      <w:r w:rsidRPr="00C529B1">
        <w:t>: AS/SOSC 1375 3.0</w:t>
      </w:r>
    </w:p>
    <w:p w14:paraId="4B334887" w14:textId="77777777" w:rsidR="006F3F03" w:rsidRDefault="006F3F03" w:rsidP="00C529B1">
      <w:pPr>
        <w:jc w:val="both"/>
      </w:pPr>
    </w:p>
    <w:p w14:paraId="09723997" w14:textId="77777777" w:rsidR="006F3F03" w:rsidRDefault="006F3F03" w:rsidP="00C529B1">
      <w:pPr>
        <w:jc w:val="both"/>
      </w:pPr>
      <w:r w:rsidRPr="0086694C">
        <w:rPr>
          <w:b/>
          <w:bCs/>
        </w:rPr>
        <w:t>Required Texts</w:t>
      </w:r>
      <w:r>
        <w:t xml:space="preserve"> – Available at the York Bookstore:</w:t>
      </w:r>
    </w:p>
    <w:p w14:paraId="7E180176" w14:textId="77777777" w:rsidR="006F3F03" w:rsidRDefault="006F3F03" w:rsidP="0086694C">
      <w:pPr>
        <w:pStyle w:val="ListParagraph"/>
        <w:numPr>
          <w:ilvl w:val="0"/>
          <w:numId w:val="1"/>
        </w:numPr>
        <w:jc w:val="both"/>
      </w:pPr>
      <w:r>
        <w:t xml:space="preserve">Vago, Steven and Adie Nelson. </w:t>
      </w:r>
      <w:r w:rsidRPr="0086694C">
        <w:rPr>
          <w:i/>
          <w:iCs/>
        </w:rPr>
        <w:t>Law and Society (3</w:t>
      </w:r>
      <w:r w:rsidRPr="0086694C">
        <w:rPr>
          <w:i/>
          <w:iCs/>
          <w:vertAlign w:val="superscript"/>
        </w:rPr>
        <w:t>rd</w:t>
      </w:r>
      <w:r w:rsidRPr="0086694C">
        <w:rPr>
          <w:i/>
          <w:iCs/>
        </w:rPr>
        <w:t xml:space="preserve"> Canadian Ed.).</w:t>
      </w:r>
      <w:r>
        <w:t xml:space="preserve"> Toronto: Pearson-Prentice, Hall, 2011. [called </w:t>
      </w:r>
      <w:r w:rsidRPr="0043509F">
        <w:rPr>
          <w:b/>
        </w:rPr>
        <w:t>Vago</w:t>
      </w:r>
      <w:r>
        <w:t xml:space="preserve"> in lecture outline]</w:t>
      </w:r>
    </w:p>
    <w:p w14:paraId="79FD0120" w14:textId="77777777" w:rsidR="006F3F03" w:rsidRDefault="006F3F03" w:rsidP="0086694C">
      <w:pPr>
        <w:pStyle w:val="ListParagraph"/>
        <w:numPr>
          <w:ilvl w:val="0"/>
          <w:numId w:val="1"/>
        </w:numPr>
        <w:jc w:val="both"/>
      </w:pPr>
      <w:r>
        <w:t xml:space="preserve">Calavita, Kitty. </w:t>
      </w:r>
      <w:r w:rsidRPr="0086694C">
        <w:rPr>
          <w:i/>
          <w:iCs/>
        </w:rPr>
        <w:t>Invitation to Law &amp; Society: An Introduction to the Study of Real Law</w:t>
      </w:r>
      <w:r>
        <w:t xml:space="preserve">. Chicago: Univ. of Chicago Press, 2010 [called </w:t>
      </w:r>
      <w:r w:rsidRPr="0043509F">
        <w:rPr>
          <w:b/>
        </w:rPr>
        <w:t>Calavita</w:t>
      </w:r>
      <w:r>
        <w:t xml:space="preserve"> in lecture outline]</w:t>
      </w:r>
    </w:p>
    <w:p w14:paraId="7A21332A" w14:textId="77777777" w:rsidR="00F10701" w:rsidRPr="00F10701" w:rsidRDefault="006F3F03" w:rsidP="00C529B1">
      <w:pPr>
        <w:pStyle w:val="ListParagraph"/>
        <w:numPr>
          <w:ilvl w:val="0"/>
          <w:numId w:val="1"/>
        </w:numPr>
        <w:jc w:val="both"/>
      </w:pPr>
      <w:r>
        <w:t xml:space="preserve">Additional Readings posted on the course website on </w:t>
      </w:r>
      <w:r w:rsidRPr="003D64A2">
        <w:rPr>
          <w:i/>
          <w:iCs/>
        </w:rPr>
        <w:t>Moodle</w:t>
      </w:r>
    </w:p>
    <w:p w14:paraId="66B4CCEA" w14:textId="77777777" w:rsidR="006F3F03" w:rsidRDefault="006F3F03" w:rsidP="00F10701">
      <w:pPr>
        <w:jc w:val="both"/>
      </w:pPr>
    </w:p>
    <w:p w14:paraId="4126142F" w14:textId="77777777" w:rsidR="006F3F03" w:rsidRDefault="006F3F03" w:rsidP="00C529B1">
      <w:pPr>
        <w:jc w:val="both"/>
      </w:pPr>
      <w:r w:rsidRPr="00017F3D">
        <w:rPr>
          <w:b/>
          <w:bCs/>
        </w:rPr>
        <w:t>Course Schedule</w:t>
      </w:r>
      <w:r>
        <w:t>:</w:t>
      </w:r>
    </w:p>
    <w:p w14:paraId="6CE12D7B" w14:textId="4F4F7B7E" w:rsidR="005A7D56" w:rsidRDefault="00B206BD" w:rsidP="00C529B1">
      <w:pPr>
        <w:jc w:val="both"/>
      </w:pPr>
      <w:r>
        <w:t xml:space="preserve">Lectures </w:t>
      </w:r>
      <w:r w:rsidRPr="00D1357B">
        <w:t>are Thursdays</w:t>
      </w:r>
      <w:r w:rsidR="005A7D56" w:rsidRPr="00D1357B">
        <w:t xml:space="preserve"> 8:30-10</w:t>
      </w:r>
      <w:r w:rsidR="006F3F03" w:rsidRPr="00D1357B">
        <w:t>:20</w:t>
      </w:r>
      <w:r w:rsidR="006F3F03">
        <w:t xml:space="preserve"> in </w:t>
      </w:r>
      <w:r w:rsidR="00105FD6">
        <w:t>ACW 109</w:t>
      </w:r>
    </w:p>
    <w:p w14:paraId="159AC2CB" w14:textId="77777777" w:rsidR="006F3F03" w:rsidRDefault="00B85574" w:rsidP="00C529B1">
      <w:pPr>
        <w:jc w:val="both"/>
      </w:pPr>
      <w:r>
        <w:t xml:space="preserve">Tutorials are 1 hour in length; </w:t>
      </w:r>
      <w:r w:rsidR="00FF308D">
        <w:t>TAs will be confirmed</w:t>
      </w:r>
      <w:r>
        <w:t>:</w:t>
      </w:r>
    </w:p>
    <w:p w14:paraId="6D2FAA01" w14:textId="77777777" w:rsidR="006F3F03" w:rsidRDefault="006F3F03" w:rsidP="001579DB">
      <w:pPr>
        <w:pStyle w:val="ListParagraph"/>
        <w:jc w:val="both"/>
      </w:pPr>
    </w:p>
    <w:tbl>
      <w:tblPr>
        <w:tblW w:w="787" w:type="pct"/>
        <w:tblCellSpacing w:w="15" w:type="dxa"/>
        <w:tblInd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379"/>
      </w:tblGrid>
      <w:tr w:rsidR="005A7D56" w:rsidRPr="00FF4631" w14:paraId="2076974A"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5899D469" w14:textId="77777777" w:rsidR="005A7D56" w:rsidRPr="00FF4631" w:rsidRDefault="005A7D56" w:rsidP="00B95084">
            <w:pPr>
              <w:rPr>
                <w:rFonts w:ascii="Times" w:hAnsi="Times"/>
                <w:sz w:val="20"/>
                <w:szCs w:val="20"/>
              </w:rPr>
            </w:pPr>
            <w:r w:rsidRPr="00FF4631">
              <w:rPr>
                <w:rFonts w:ascii="Times" w:hAnsi="Times"/>
                <w:sz w:val="20"/>
                <w:szCs w:val="20"/>
              </w:rPr>
              <w:lastRenderedPageBreak/>
              <w:t>TUTR 01</w:t>
            </w:r>
          </w:p>
        </w:tc>
      </w:tr>
      <w:tr w:rsidR="005A7D56" w:rsidRPr="00FF4631" w14:paraId="2FBF9BAC"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0096AEE1" w14:textId="77777777" w:rsidR="005A7D56" w:rsidRPr="00FF4631" w:rsidRDefault="005A7D56" w:rsidP="00B95084">
            <w:pPr>
              <w:rPr>
                <w:rFonts w:ascii="Times" w:hAnsi="Times"/>
                <w:sz w:val="20"/>
                <w:szCs w:val="20"/>
              </w:rPr>
            </w:pPr>
            <w:r w:rsidRPr="00FF4631">
              <w:rPr>
                <w:rFonts w:ascii="Times" w:hAnsi="Times"/>
                <w:sz w:val="20"/>
                <w:szCs w:val="20"/>
              </w:rPr>
              <w:t>TUTR 02</w:t>
            </w:r>
          </w:p>
        </w:tc>
      </w:tr>
      <w:tr w:rsidR="005A7D56" w:rsidRPr="00FF4631" w14:paraId="47FE2BA6"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64C3D639" w14:textId="77777777" w:rsidR="005A7D56" w:rsidRPr="00FF4631" w:rsidRDefault="005A7D56" w:rsidP="00B95084">
            <w:pPr>
              <w:rPr>
                <w:rFonts w:ascii="Times" w:hAnsi="Times"/>
                <w:sz w:val="20"/>
                <w:szCs w:val="20"/>
              </w:rPr>
            </w:pPr>
            <w:r w:rsidRPr="00FF4631">
              <w:rPr>
                <w:rFonts w:ascii="Times" w:hAnsi="Times"/>
                <w:sz w:val="20"/>
                <w:szCs w:val="20"/>
              </w:rPr>
              <w:t>TUTR 03</w:t>
            </w:r>
          </w:p>
        </w:tc>
      </w:tr>
      <w:tr w:rsidR="005A7D56" w:rsidRPr="00FF4631" w14:paraId="54BFBA72"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7CDD66DA" w14:textId="77777777" w:rsidR="005A7D56" w:rsidRPr="00FF4631" w:rsidRDefault="005A7D56" w:rsidP="00B95084">
            <w:pPr>
              <w:rPr>
                <w:rFonts w:ascii="Times" w:hAnsi="Times"/>
                <w:sz w:val="20"/>
                <w:szCs w:val="20"/>
              </w:rPr>
            </w:pPr>
            <w:r w:rsidRPr="00FF4631">
              <w:rPr>
                <w:rFonts w:ascii="Times" w:hAnsi="Times"/>
                <w:sz w:val="20"/>
                <w:szCs w:val="20"/>
              </w:rPr>
              <w:t>TUTR 04</w:t>
            </w:r>
          </w:p>
        </w:tc>
      </w:tr>
      <w:tr w:rsidR="005A7D56" w:rsidRPr="00FF4631" w14:paraId="4534164D"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5A608DFD" w14:textId="77777777" w:rsidR="005A7D56" w:rsidRPr="00FF4631" w:rsidRDefault="005A7D56" w:rsidP="00B95084">
            <w:pPr>
              <w:rPr>
                <w:rFonts w:ascii="Times" w:hAnsi="Times"/>
                <w:sz w:val="20"/>
                <w:szCs w:val="20"/>
              </w:rPr>
            </w:pPr>
            <w:r w:rsidRPr="00FF4631">
              <w:rPr>
                <w:rFonts w:ascii="Times" w:hAnsi="Times"/>
                <w:sz w:val="20"/>
                <w:szCs w:val="20"/>
              </w:rPr>
              <w:t>TUTR 05</w:t>
            </w:r>
          </w:p>
        </w:tc>
      </w:tr>
      <w:tr w:rsidR="005A7D56" w:rsidRPr="00FF4631" w14:paraId="444ACC57"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7A485752" w14:textId="77777777" w:rsidR="005A7D56" w:rsidRPr="00FF4631" w:rsidRDefault="005A7D56" w:rsidP="00B95084">
            <w:pPr>
              <w:rPr>
                <w:rFonts w:ascii="Times" w:hAnsi="Times"/>
                <w:sz w:val="20"/>
                <w:szCs w:val="20"/>
              </w:rPr>
            </w:pPr>
            <w:r w:rsidRPr="00FF4631">
              <w:rPr>
                <w:rFonts w:ascii="Times" w:hAnsi="Times"/>
                <w:sz w:val="20"/>
                <w:szCs w:val="20"/>
              </w:rPr>
              <w:t>TUTR 06</w:t>
            </w:r>
          </w:p>
        </w:tc>
      </w:tr>
      <w:tr w:rsidR="005A7D56" w:rsidRPr="00FF4631" w14:paraId="56BB8804"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048E00A6" w14:textId="77777777" w:rsidR="005A7D56" w:rsidRPr="00FF4631" w:rsidRDefault="005A7D56" w:rsidP="00B95084">
            <w:pPr>
              <w:rPr>
                <w:rFonts w:ascii="Times" w:hAnsi="Times"/>
                <w:sz w:val="20"/>
                <w:szCs w:val="20"/>
              </w:rPr>
            </w:pPr>
            <w:r w:rsidRPr="00FF4631">
              <w:rPr>
                <w:rFonts w:ascii="Times" w:hAnsi="Times"/>
                <w:sz w:val="20"/>
                <w:szCs w:val="20"/>
              </w:rPr>
              <w:t>TUTR 07</w:t>
            </w:r>
          </w:p>
        </w:tc>
      </w:tr>
      <w:tr w:rsidR="005A7D56" w:rsidRPr="00FF4631" w14:paraId="743F4C11"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735DE5A1" w14:textId="77777777" w:rsidR="005A7D56" w:rsidRPr="00FF4631" w:rsidRDefault="005A7D56" w:rsidP="00B95084">
            <w:pPr>
              <w:rPr>
                <w:rFonts w:ascii="Times" w:hAnsi="Times"/>
                <w:sz w:val="20"/>
                <w:szCs w:val="20"/>
              </w:rPr>
            </w:pPr>
            <w:r w:rsidRPr="00FF4631">
              <w:rPr>
                <w:rFonts w:ascii="Times" w:hAnsi="Times"/>
                <w:sz w:val="20"/>
                <w:szCs w:val="20"/>
              </w:rPr>
              <w:t>TUTR 08</w:t>
            </w:r>
          </w:p>
        </w:tc>
      </w:tr>
      <w:tr w:rsidR="005A7D56" w:rsidRPr="00FF4631" w14:paraId="7449581E"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3B562EAC" w14:textId="77777777" w:rsidR="005A7D56" w:rsidRPr="00FF4631" w:rsidRDefault="005A7D56" w:rsidP="00B95084">
            <w:pPr>
              <w:rPr>
                <w:rFonts w:ascii="Times" w:hAnsi="Times"/>
                <w:sz w:val="20"/>
                <w:szCs w:val="20"/>
              </w:rPr>
            </w:pPr>
            <w:r w:rsidRPr="00FF4631">
              <w:rPr>
                <w:rFonts w:ascii="Times" w:hAnsi="Times"/>
                <w:sz w:val="20"/>
                <w:szCs w:val="20"/>
              </w:rPr>
              <w:t>TUTR 09</w:t>
            </w:r>
          </w:p>
        </w:tc>
      </w:tr>
      <w:tr w:rsidR="005A7D56" w:rsidRPr="00FF4631" w14:paraId="25AB8892"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3CC67CB9" w14:textId="77777777" w:rsidR="005A7D56" w:rsidRPr="00FF4631" w:rsidRDefault="005A7D56" w:rsidP="00B95084">
            <w:pPr>
              <w:rPr>
                <w:rFonts w:ascii="Times" w:hAnsi="Times"/>
                <w:sz w:val="20"/>
                <w:szCs w:val="20"/>
              </w:rPr>
            </w:pPr>
            <w:r w:rsidRPr="00FF4631">
              <w:rPr>
                <w:rFonts w:ascii="Times" w:hAnsi="Times"/>
                <w:sz w:val="20"/>
                <w:szCs w:val="20"/>
              </w:rPr>
              <w:t>TUTR 10</w:t>
            </w:r>
          </w:p>
        </w:tc>
      </w:tr>
      <w:tr w:rsidR="005A7D56" w:rsidRPr="00FF4631" w14:paraId="49703219"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40A307D4" w14:textId="77777777" w:rsidR="005A7D56" w:rsidRPr="00FF4631" w:rsidRDefault="005A7D56" w:rsidP="00B95084">
            <w:pPr>
              <w:rPr>
                <w:rFonts w:ascii="Times" w:hAnsi="Times"/>
                <w:sz w:val="20"/>
                <w:szCs w:val="20"/>
              </w:rPr>
            </w:pPr>
            <w:r w:rsidRPr="00FF4631">
              <w:rPr>
                <w:rFonts w:ascii="Times" w:hAnsi="Times"/>
                <w:sz w:val="20"/>
                <w:szCs w:val="20"/>
              </w:rPr>
              <w:t>TUTR 11</w:t>
            </w:r>
          </w:p>
        </w:tc>
      </w:tr>
      <w:tr w:rsidR="005A7D56" w:rsidRPr="00FF4631" w14:paraId="317298CC"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703EBA01" w14:textId="77777777" w:rsidR="005A7D56" w:rsidRPr="00FF4631" w:rsidRDefault="005A7D56" w:rsidP="00B95084">
            <w:pPr>
              <w:rPr>
                <w:rFonts w:ascii="Times" w:hAnsi="Times"/>
                <w:sz w:val="20"/>
                <w:szCs w:val="20"/>
              </w:rPr>
            </w:pPr>
            <w:r w:rsidRPr="00FF4631">
              <w:rPr>
                <w:rFonts w:ascii="Times" w:hAnsi="Times"/>
                <w:sz w:val="20"/>
                <w:szCs w:val="20"/>
              </w:rPr>
              <w:t>TUTR 12</w:t>
            </w:r>
          </w:p>
        </w:tc>
      </w:tr>
      <w:tr w:rsidR="005A7D56" w:rsidRPr="00FF4631" w14:paraId="3FBD01F4"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145C9B42" w14:textId="77777777" w:rsidR="005A7D56" w:rsidRPr="00FF4631" w:rsidRDefault="005A7D56" w:rsidP="00B95084">
            <w:pPr>
              <w:rPr>
                <w:rFonts w:ascii="Times" w:hAnsi="Times"/>
                <w:sz w:val="20"/>
                <w:szCs w:val="20"/>
              </w:rPr>
            </w:pPr>
            <w:r w:rsidRPr="00FF4631">
              <w:rPr>
                <w:rFonts w:ascii="Times" w:hAnsi="Times"/>
                <w:sz w:val="20"/>
                <w:szCs w:val="20"/>
              </w:rPr>
              <w:t>TUTR 15</w:t>
            </w:r>
          </w:p>
        </w:tc>
      </w:tr>
      <w:tr w:rsidR="005A7D56" w:rsidRPr="00FF4631" w14:paraId="22C6EFD4" w14:textId="77777777">
        <w:trPr>
          <w:tblCellSpacing w:w="15" w:type="dxa"/>
        </w:trPr>
        <w:tc>
          <w:tcPr>
            <w:tcW w:w="4782" w:type="pct"/>
            <w:tcBorders>
              <w:top w:val="outset" w:sz="6" w:space="0" w:color="auto"/>
              <w:left w:val="outset" w:sz="6" w:space="0" w:color="auto"/>
              <w:bottom w:val="outset" w:sz="6" w:space="0" w:color="auto"/>
              <w:right w:val="outset" w:sz="6" w:space="0" w:color="auto"/>
            </w:tcBorders>
            <w:shd w:val="clear" w:color="auto" w:fill="auto"/>
          </w:tcPr>
          <w:p w14:paraId="5100B259" w14:textId="77777777" w:rsidR="005A7D56" w:rsidRPr="00FF4631" w:rsidRDefault="005A7D56" w:rsidP="00B95084">
            <w:pPr>
              <w:rPr>
                <w:rFonts w:ascii="Times" w:hAnsi="Times"/>
                <w:sz w:val="20"/>
                <w:szCs w:val="20"/>
              </w:rPr>
            </w:pPr>
            <w:r w:rsidRPr="00FF4631">
              <w:rPr>
                <w:rFonts w:ascii="Times" w:hAnsi="Times"/>
                <w:sz w:val="20"/>
                <w:szCs w:val="20"/>
              </w:rPr>
              <w:t>TUTR 16</w:t>
            </w:r>
          </w:p>
        </w:tc>
      </w:tr>
    </w:tbl>
    <w:p w14:paraId="44EB5648" w14:textId="77777777" w:rsidR="006F3F03" w:rsidRDefault="006F3F03" w:rsidP="00C529B1">
      <w:pPr>
        <w:jc w:val="both"/>
      </w:pPr>
    </w:p>
    <w:p w14:paraId="1359DFD3" w14:textId="77777777" w:rsidR="006F3F03" w:rsidRPr="00C31BA1" w:rsidRDefault="006F3F03" w:rsidP="00C31BA1">
      <w:pPr>
        <w:jc w:val="both"/>
      </w:pPr>
      <w:r w:rsidRPr="00C31BA1">
        <w:rPr>
          <w:b/>
          <w:bCs/>
        </w:rPr>
        <w:t>Course Objectives and Philosophy</w:t>
      </w:r>
      <w:r>
        <w:rPr>
          <w:b/>
          <w:bCs/>
        </w:rPr>
        <w:t xml:space="preserve"> include</w:t>
      </w:r>
      <w:r>
        <w:t>:</w:t>
      </w:r>
    </w:p>
    <w:p w14:paraId="79EC690E" w14:textId="77777777" w:rsidR="006F3F03" w:rsidRPr="00C31BA1" w:rsidRDefault="006F3F03" w:rsidP="00C31BA1">
      <w:pPr>
        <w:pStyle w:val="ListParagraph"/>
        <w:numPr>
          <w:ilvl w:val="0"/>
          <w:numId w:val="3"/>
        </w:numPr>
        <w:jc w:val="both"/>
      </w:pPr>
      <w:r w:rsidRPr="00C31BA1">
        <w:t>Develop critical reading, analysis, and writing skills</w:t>
      </w:r>
    </w:p>
    <w:p w14:paraId="7D874242" w14:textId="77777777" w:rsidR="006F3F03" w:rsidRPr="00C31BA1" w:rsidRDefault="006F3F03" w:rsidP="00C31BA1">
      <w:pPr>
        <w:pStyle w:val="ListParagraph"/>
        <w:numPr>
          <w:ilvl w:val="0"/>
          <w:numId w:val="3"/>
        </w:numPr>
        <w:jc w:val="both"/>
      </w:pPr>
      <w:r w:rsidRPr="00C31BA1">
        <w:t>Gain knowledge of the structure of the Canadian legal system</w:t>
      </w:r>
    </w:p>
    <w:p w14:paraId="4905C7B3" w14:textId="77777777" w:rsidR="006F3F03" w:rsidRPr="00C31BA1" w:rsidRDefault="006F3F03" w:rsidP="00C31BA1">
      <w:pPr>
        <w:pStyle w:val="ListParagraph"/>
        <w:numPr>
          <w:ilvl w:val="0"/>
          <w:numId w:val="3"/>
        </w:numPr>
        <w:jc w:val="both"/>
      </w:pPr>
      <w:r w:rsidRPr="00C31BA1">
        <w:t>Employ an interdisciplinary approach to sociolegal studies</w:t>
      </w:r>
    </w:p>
    <w:p w14:paraId="7DCB0341" w14:textId="77777777" w:rsidR="006F3F03" w:rsidRPr="00C31BA1" w:rsidRDefault="006F3F03" w:rsidP="00C31BA1">
      <w:pPr>
        <w:pStyle w:val="ListParagraph"/>
        <w:numPr>
          <w:ilvl w:val="0"/>
          <w:numId w:val="3"/>
        </w:numPr>
        <w:jc w:val="both"/>
      </w:pPr>
      <w:r w:rsidRPr="00C31BA1">
        <w:t>Learn to compare, apply and critique different social science theories of law</w:t>
      </w:r>
    </w:p>
    <w:p w14:paraId="7048BDA9" w14:textId="77777777" w:rsidR="006F3F03" w:rsidRDefault="006F3F03" w:rsidP="00C31BA1">
      <w:pPr>
        <w:pStyle w:val="ListParagraph"/>
        <w:numPr>
          <w:ilvl w:val="0"/>
          <w:numId w:val="3"/>
        </w:numPr>
        <w:jc w:val="both"/>
      </w:pPr>
      <w:r w:rsidRPr="00C31BA1">
        <w:t>Develop insight into the relationship(s) between law and society</w:t>
      </w:r>
    </w:p>
    <w:p w14:paraId="31A0EFB6" w14:textId="77777777" w:rsidR="005A7D56" w:rsidRPr="00C31BA1" w:rsidRDefault="005A7D56" w:rsidP="005A7D56">
      <w:pPr>
        <w:pStyle w:val="ListParagraph"/>
        <w:jc w:val="both"/>
      </w:pPr>
    </w:p>
    <w:p w14:paraId="0618E194" w14:textId="77777777" w:rsidR="006F3F03" w:rsidRPr="00C31BA1" w:rsidRDefault="006F3F03" w:rsidP="00C31BA1">
      <w:pPr>
        <w:jc w:val="both"/>
      </w:pPr>
      <w:r w:rsidRPr="00C31BA1">
        <w:t>This course is taught from the perspective that we learn together and cooperatively.</w:t>
      </w:r>
    </w:p>
    <w:p w14:paraId="039290AF" w14:textId="77777777" w:rsidR="006F3F03" w:rsidRDefault="006F3F03" w:rsidP="00C31BA1">
      <w:pPr>
        <w:jc w:val="both"/>
      </w:pPr>
      <w:r w:rsidRPr="00C31BA1">
        <w:t xml:space="preserve">This is an interdisciplinary course: you are encouraged to draw on your other </w:t>
      </w:r>
      <w:r>
        <w:t xml:space="preserve">experience and </w:t>
      </w:r>
      <w:r w:rsidRPr="00C31BA1">
        <w:t>skills when reflecting on the material being discussed. Read the</w:t>
      </w:r>
      <w:r>
        <w:t xml:space="preserve"> newspaper</w:t>
      </w:r>
      <w:r w:rsidRPr="00C31BA1">
        <w:t xml:space="preserve"> and bring questions and issues into the course discussions.</w:t>
      </w:r>
      <w:r>
        <w:t xml:space="preserve"> Please be respectful of your classmates and try to avoid arriving late or disrupting lectures. </w:t>
      </w:r>
    </w:p>
    <w:p w14:paraId="28C5399B" w14:textId="77777777" w:rsidR="006F3F03" w:rsidRPr="00C31BA1" w:rsidRDefault="006F3F03" w:rsidP="00C31BA1">
      <w:pPr>
        <w:jc w:val="both"/>
      </w:pPr>
    </w:p>
    <w:p w14:paraId="313FB358" w14:textId="77777777" w:rsidR="006F3F03" w:rsidRDefault="006F3F03" w:rsidP="00C31BA1">
      <w:pPr>
        <w:jc w:val="both"/>
      </w:pPr>
      <w:r w:rsidRPr="00C31BA1">
        <w:t>Readings assigned for each class are intended to complement that day’s lecture and will</w:t>
      </w:r>
      <w:r>
        <w:t xml:space="preserve"> </w:t>
      </w:r>
      <w:r w:rsidRPr="00C31BA1">
        <w:t>not necessarily cover all issues addressed during class. Therefore, it is important in</w:t>
      </w:r>
      <w:r>
        <w:t xml:space="preserve"> </w:t>
      </w:r>
      <w:r w:rsidRPr="00C31BA1">
        <w:t>preparing for tutorial participation that you attend lectures and do your readings each</w:t>
      </w:r>
      <w:r>
        <w:t xml:space="preserve"> </w:t>
      </w:r>
      <w:r w:rsidRPr="00C31BA1">
        <w:t>week. Tests and exams will be based on a combination of materials and discussion</w:t>
      </w:r>
      <w:r>
        <w:t xml:space="preserve"> </w:t>
      </w:r>
      <w:r w:rsidRPr="00C31BA1">
        <w:t>covered in lectures, tutorials and readings.</w:t>
      </w:r>
      <w:r>
        <w:t xml:space="preserve"> You should expect 40-50 pages of reading each week.</w:t>
      </w:r>
    </w:p>
    <w:p w14:paraId="73D00E1C" w14:textId="77777777" w:rsidR="006F3F03" w:rsidRDefault="006F3F03" w:rsidP="00C529B1">
      <w:pPr>
        <w:jc w:val="both"/>
      </w:pPr>
    </w:p>
    <w:p w14:paraId="0FBA2B88" w14:textId="77777777" w:rsidR="006F3F03" w:rsidRPr="004E2EC9" w:rsidRDefault="006F3F03" w:rsidP="008F3D03">
      <w:pPr>
        <w:jc w:val="both"/>
      </w:pPr>
      <w:r w:rsidRPr="00C31BA1">
        <w:rPr>
          <w:b/>
          <w:bCs/>
        </w:rPr>
        <w:t>Course Requirements</w:t>
      </w:r>
      <w:r>
        <w:rPr>
          <w:b/>
          <w:bCs/>
        </w:rPr>
        <w:t>/ Evaluation</w:t>
      </w:r>
      <w:r>
        <w:t>:</w:t>
      </w:r>
      <w:r>
        <w:tab/>
      </w:r>
      <w:r>
        <w:tab/>
      </w:r>
      <w:r w:rsidRPr="00A80BB6">
        <w:rPr>
          <w:b/>
        </w:rPr>
        <w:t>DUE DATE</w:t>
      </w:r>
    </w:p>
    <w:p w14:paraId="7424AE7C" w14:textId="1109413B" w:rsidR="00AD4CDA" w:rsidRDefault="00E36D2D" w:rsidP="008F3D03">
      <w:pPr>
        <w:jc w:val="both"/>
      </w:pPr>
      <w:r>
        <w:t>Socio-legal analysis of</w:t>
      </w:r>
      <w:r w:rsidR="005D31B1">
        <w:t xml:space="preserve"> </w:t>
      </w:r>
      <w:r>
        <w:t>d</w:t>
      </w:r>
      <w:r w:rsidR="005D31B1">
        <w:t>ecision</w:t>
      </w:r>
      <w:r w:rsidR="006F3F03">
        <w:t xml:space="preserve"> </w:t>
      </w:r>
      <w:r w:rsidR="006F3F03" w:rsidRPr="004E2EC9">
        <w:t xml:space="preserve"> </w:t>
      </w:r>
      <w:r w:rsidR="006F3F03">
        <w:tab/>
      </w:r>
      <w:r w:rsidR="006F3F03" w:rsidRPr="004E2EC9">
        <w:t xml:space="preserve">15% </w:t>
      </w:r>
      <w:r w:rsidR="005A7D56">
        <w:tab/>
      </w:r>
      <w:r w:rsidR="005A7D56">
        <w:tab/>
        <w:t>Nov 12</w:t>
      </w:r>
      <w:r w:rsidR="005A7D56" w:rsidRPr="005A7D56">
        <w:rPr>
          <w:vertAlign w:val="superscript"/>
        </w:rPr>
        <w:t>th</w:t>
      </w:r>
      <w:r w:rsidR="005A7D56">
        <w:t xml:space="preserve"> 2015</w:t>
      </w:r>
    </w:p>
    <w:p w14:paraId="3E46C016" w14:textId="77777777" w:rsidR="00A80BB6" w:rsidRDefault="00A80BB6" w:rsidP="008F3D03">
      <w:pPr>
        <w:jc w:val="both"/>
      </w:pPr>
      <w:r>
        <w:t>Midterm test in Dec</w:t>
      </w:r>
      <w:r>
        <w:tab/>
      </w:r>
      <w:r>
        <w:tab/>
      </w:r>
      <w:r>
        <w:tab/>
        <w:t>20%</w:t>
      </w:r>
      <w:r>
        <w:tab/>
      </w:r>
      <w:r>
        <w:tab/>
        <w:t>Exam Period</w:t>
      </w:r>
      <w:r w:rsidR="005A7D56">
        <w:t xml:space="preserve"> 2015</w:t>
      </w:r>
    </w:p>
    <w:p w14:paraId="3B43DB58" w14:textId="77777777" w:rsidR="006F3F03" w:rsidRPr="004E2EC9" w:rsidRDefault="00A80BB6" w:rsidP="008F3D03">
      <w:pPr>
        <w:jc w:val="both"/>
      </w:pPr>
      <w:r>
        <w:t>Essay outline/ bibliography</w:t>
      </w:r>
      <w:r>
        <w:tab/>
      </w:r>
      <w:r>
        <w:tab/>
        <w:t xml:space="preserve"> 5%</w:t>
      </w:r>
      <w:r>
        <w:tab/>
      </w:r>
      <w:r>
        <w:tab/>
        <w:t xml:space="preserve">Jan. </w:t>
      </w:r>
      <w:r w:rsidR="005A7D56">
        <w:t>21</w:t>
      </w:r>
      <w:r w:rsidR="006A4DFA">
        <w:t xml:space="preserve">, </w:t>
      </w:r>
      <w:r w:rsidR="005A7D56">
        <w:t>2016</w:t>
      </w:r>
    </w:p>
    <w:p w14:paraId="35428028" w14:textId="77777777" w:rsidR="006F3F03" w:rsidRPr="004E2EC9" w:rsidRDefault="006F3F03" w:rsidP="008F3D03">
      <w:pPr>
        <w:jc w:val="both"/>
      </w:pPr>
      <w:r w:rsidRPr="004E2EC9">
        <w:t xml:space="preserve">Final essay </w:t>
      </w:r>
      <w:r>
        <w:tab/>
      </w:r>
      <w:r>
        <w:tab/>
      </w:r>
      <w:r>
        <w:tab/>
      </w:r>
      <w:r>
        <w:tab/>
      </w:r>
      <w:r w:rsidR="00AD4CDA">
        <w:t>20</w:t>
      </w:r>
      <w:r w:rsidRPr="004E2EC9">
        <w:t xml:space="preserve">% </w:t>
      </w:r>
      <w:r w:rsidR="006A4DFA">
        <w:tab/>
      </w:r>
      <w:r w:rsidR="006A4DFA">
        <w:tab/>
        <w:t>Mar</w:t>
      </w:r>
      <w:r w:rsidR="00D576BF">
        <w:t>ch</w:t>
      </w:r>
      <w:r w:rsidR="005A7D56">
        <w:t xml:space="preserve"> 10, 2016</w:t>
      </w:r>
    </w:p>
    <w:p w14:paraId="533B596B" w14:textId="77777777" w:rsidR="006F3F03" w:rsidRPr="004E2EC9" w:rsidRDefault="006F3F03" w:rsidP="008F3D03">
      <w:pPr>
        <w:jc w:val="both"/>
      </w:pPr>
      <w:r w:rsidRPr="004E2EC9">
        <w:t xml:space="preserve">Final exam </w:t>
      </w:r>
      <w:r>
        <w:tab/>
      </w:r>
      <w:r>
        <w:tab/>
      </w:r>
      <w:r>
        <w:tab/>
      </w:r>
      <w:r>
        <w:tab/>
      </w:r>
      <w:r w:rsidR="00AD4CDA">
        <w:t>25</w:t>
      </w:r>
      <w:r w:rsidRPr="004E2EC9">
        <w:t xml:space="preserve">% </w:t>
      </w:r>
      <w:r>
        <w:tab/>
      </w:r>
      <w:r>
        <w:tab/>
      </w:r>
      <w:r w:rsidRPr="004E2EC9">
        <w:t>Exam period</w:t>
      </w:r>
      <w:r>
        <w:t xml:space="preserve"> 201</w:t>
      </w:r>
      <w:r w:rsidR="005A7D56">
        <w:t>6</w:t>
      </w:r>
    </w:p>
    <w:p w14:paraId="26E24460" w14:textId="4A943C8B" w:rsidR="006F3F03" w:rsidRDefault="006F3F03" w:rsidP="008F3D03">
      <w:pPr>
        <w:jc w:val="both"/>
      </w:pPr>
      <w:r w:rsidRPr="004E2EC9">
        <w:t>Tuto</w:t>
      </w:r>
      <w:r>
        <w:t xml:space="preserve">rial participation </w:t>
      </w:r>
      <w:r>
        <w:tab/>
      </w:r>
      <w:r w:rsidR="00B206BD">
        <w:tab/>
        <w:t>10</w:t>
      </w:r>
      <w:r>
        <w:t xml:space="preserve">% </w:t>
      </w:r>
      <w:r w:rsidR="0097384C">
        <w:tab/>
        <w:t xml:space="preserve">             </w:t>
      </w:r>
      <w:r w:rsidR="0043509F">
        <w:t>Determined by Tutorial Leader</w:t>
      </w:r>
    </w:p>
    <w:p w14:paraId="5165DCEF" w14:textId="3CBE6CE3" w:rsidR="006F3F03" w:rsidRDefault="00B206BD" w:rsidP="008F3D03">
      <w:pPr>
        <w:jc w:val="both"/>
      </w:pPr>
      <w:r>
        <w:t xml:space="preserve">Tutorial journal </w:t>
      </w:r>
      <w:r>
        <w:tab/>
      </w:r>
      <w:r>
        <w:tab/>
      </w:r>
      <w:r>
        <w:tab/>
        <w:t>5%</w:t>
      </w:r>
      <w:r w:rsidR="006F3F03">
        <w:t xml:space="preserve"> </w:t>
      </w:r>
      <w:r w:rsidR="0097384C">
        <w:t xml:space="preserve">                   </w:t>
      </w:r>
      <w:r>
        <w:t>Determined by Tutorial Leader</w:t>
      </w:r>
    </w:p>
    <w:p w14:paraId="2DCEFCAF" w14:textId="77777777" w:rsidR="00B206BD" w:rsidRDefault="00B206BD" w:rsidP="008F3D03">
      <w:pPr>
        <w:jc w:val="both"/>
      </w:pPr>
    </w:p>
    <w:p w14:paraId="3227060C" w14:textId="1E1FD09B" w:rsidR="00A46E56" w:rsidRPr="001579DB" w:rsidRDefault="006F3F03" w:rsidP="00C529B1">
      <w:pPr>
        <w:jc w:val="both"/>
        <w:rPr>
          <w:u w:val="single"/>
        </w:rPr>
      </w:pPr>
      <w:r w:rsidRPr="001579DB">
        <w:rPr>
          <w:b/>
          <w:bCs/>
          <w:u w:val="single"/>
        </w:rPr>
        <w:t>Assignments</w:t>
      </w:r>
      <w:r w:rsidRPr="001579DB">
        <w:rPr>
          <w:u w:val="single"/>
        </w:rPr>
        <w:t>:</w:t>
      </w:r>
    </w:p>
    <w:p w14:paraId="7481746B" w14:textId="77777777" w:rsidR="006F3F03" w:rsidRDefault="006F3F03" w:rsidP="00C529B1">
      <w:pPr>
        <w:jc w:val="both"/>
      </w:pPr>
    </w:p>
    <w:p w14:paraId="255C31A5" w14:textId="77777777" w:rsidR="00B93281" w:rsidRDefault="006F3F03" w:rsidP="00DA26F5">
      <w:pPr>
        <w:jc w:val="both"/>
        <w:rPr>
          <w:bCs/>
        </w:rPr>
      </w:pPr>
      <w:r w:rsidRPr="00A46E56">
        <w:rPr>
          <w:b/>
          <w:bCs/>
        </w:rPr>
        <w:t xml:space="preserve">Analysis of Socio-legal Case: </w:t>
      </w:r>
      <w:r w:rsidR="009125E4" w:rsidRPr="00A46E56">
        <w:rPr>
          <w:b/>
          <w:bCs/>
        </w:rPr>
        <w:t xml:space="preserve"> </w:t>
      </w:r>
      <w:r w:rsidRPr="00A46E56">
        <w:rPr>
          <w:bCs/>
        </w:rPr>
        <w:t>Students will be required to analyse</w:t>
      </w:r>
      <w:r w:rsidR="00275E1E" w:rsidRPr="00A46E56">
        <w:rPr>
          <w:b/>
          <w:bCs/>
        </w:rPr>
        <w:t xml:space="preserve"> </w:t>
      </w:r>
      <w:r w:rsidR="00275E1E" w:rsidRPr="00A46E56">
        <w:rPr>
          <w:bCs/>
        </w:rPr>
        <w:t>the</w:t>
      </w:r>
      <w:r w:rsidR="00275E1E" w:rsidRPr="00A46E56">
        <w:rPr>
          <w:b/>
          <w:bCs/>
        </w:rPr>
        <w:t xml:space="preserve"> </w:t>
      </w:r>
      <w:r w:rsidR="005A7D56" w:rsidRPr="00A46E56">
        <w:rPr>
          <w:bCs/>
        </w:rPr>
        <w:t>SCC Carter case (2015)</w:t>
      </w:r>
      <w:r w:rsidR="005A7D56">
        <w:rPr>
          <w:bCs/>
        </w:rPr>
        <w:t xml:space="preserve"> </w:t>
      </w:r>
      <w:r w:rsidR="00FF308D">
        <w:rPr>
          <w:bCs/>
        </w:rPr>
        <w:t xml:space="preserve">with regard to </w:t>
      </w:r>
      <w:r w:rsidR="001E728E">
        <w:rPr>
          <w:bCs/>
        </w:rPr>
        <w:t xml:space="preserve">how cases move through the courts; </w:t>
      </w:r>
      <w:r w:rsidR="00FF308D">
        <w:rPr>
          <w:bCs/>
        </w:rPr>
        <w:t>the role of lawyer</w:t>
      </w:r>
      <w:r w:rsidR="001E728E">
        <w:rPr>
          <w:bCs/>
        </w:rPr>
        <w:t>s</w:t>
      </w:r>
      <w:r w:rsidR="00FF308D">
        <w:rPr>
          <w:bCs/>
        </w:rPr>
        <w:t>, interveners, judges and the litigants in shaping law</w:t>
      </w:r>
      <w:r w:rsidR="001E728E">
        <w:rPr>
          <w:bCs/>
        </w:rPr>
        <w:t>; and the issues in the case</w:t>
      </w:r>
      <w:r w:rsidR="00FF308D">
        <w:rPr>
          <w:bCs/>
        </w:rPr>
        <w:t xml:space="preserve">. </w:t>
      </w:r>
      <w:r w:rsidR="00275E1E">
        <w:rPr>
          <w:bCs/>
        </w:rPr>
        <w:t xml:space="preserve">(March 2014 SCC hearing) </w:t>
      </w:r>
    </w:p>
    <w:p w14:paraId="5CE95BAF" w14:textId="77777777" w:rsidR="00AD4CDA" w:rsidRPr="00275E1E" w:rsidRDefault="0013658F" w:rsidP="00DA26F5">
      <w:pPr>
        <w:jc w:val="both"/>
        <w:rPr>
          <w:bCs/>
        </w:rPr>
      </w:pPr>
      <w:hyperlink r:id="rId9" w:history="1">
        <w:r w:rsidR="00B93281" w:rsidRPr="0058290E">
          <w:rPr>
            <w:rStyle w:val="Hyperlink"/>
            <w:bCs/>
          </w:rPr>
          <w:t>http://www.scc-csc.gc.ca/case-dossier/info/dock-regi-eng.aspx?cas=35201</w:t>
        </w:r>
      </w:hyperlink>
      <w:r w:rsidR="00B93281">
        <w:rPr>
          <w:bCs/>
        </w:rPr>
        <w:t xml:space="preserve"> </w:t>
      </w:r>
    </w:p>
    <w:p w14:paraId="7F6F331E" w14:textId="77777777" w:rsidR="00AD4CDA" w:rsidRDefault="00AD4CDA" w:rsidP="00DA26F5">
      <w:pPr>
        <w:jc w:val="both"/>
        <w:rPr>
          <w:b/>
          <w:bCs/>
        </w:rPr>
      </w:pPr>
    </w:p>
    <w:p w14:paraId="68091156" w14:textId="77777777" w:rsidR="006F3F03" w:rsidRDefault="006F3F03" w:rsidP="00DA26F5">
      <w:pPr>
        <w:jc w:val="both"/>
      </w:pPr>
      <w:r>
        <w:rPr>
          <w:b/>
          <w:bCs/>
        </w:rPr>
        <w:t xml:space="preserve">Essay </w:t>
      </w:r>
      <w:r w:rsidR="00D576BF">
        <w:rPr>
          <w:b/>
          <w:bCs/>
        </w:rPr>
        <w:t xml:space="preserve">&amp; </w:t>
      </w:r>
      <w:r>
        <w:rPr>
          <w:b/>
          <w:bCs/>
        </w:rPr>
        <w:t>Outline</w:t>
      </w:r>
      <w:r w:rsidRPr="00DA26F5">
        <w:rPr>
          <w:b/>
          <w:bCs/>
        </w:rPr>
        <w:t xml:space="preserve">: </w:t>
      </w:r>
      <w:r w:rsidRPr="00DA26F5">
        <w:t>Instructions to both will be distributed and</w:t>
      </w:r>
      <w:r>
        <w:t xml:space="preserve"> </w:t>
      </w:r>
      <w:r w:rsidRPr="00DA26F5">
        <w:t>discussed in lecture.</w:t>
      </w:r>
    </w:p>
    <w:p w14:paraId="3EEB11CB" w14:textId="77777777" w:rsidR="006F3F03" w:rsidRPr="00DA26F5" w:rsidRDefault="006F3F03" w:rsidP="00DA26F5">
      <w:pPr>
        <w:jc w:val="both"/>
      </w:pPr>
    </w:p>
    <w:p w14:paraId="5B1674C2" w14:textId="77777777" w:rsidR="006F3F03" w:rsidRDefault="006F3F03" w:rsidP="00DA26F5">
      <w:pPr>
        <w:jc w:val="both"/>
      </w:pPr>
      <w:r w:rsidRPr="00DA26F5">
        <w:rPr>
          <w:b/>
          <w:bCs/>
        </w:rPr>
        <w:t xml:space="preserve">Final Exam: </w:t>
      </w:r>
      <w:r w:rsidRPr="00DA26F5">
        <w:t>The exam is two &amp; a half hours in length and takes place during the final exam</w:t>
      </w:r>
      <w:r>
        <w:t xml:space="preserve"> </w:t>
      </w:r>
      <w:r w:rsidRPr="00DA26F5">
        <w:t>period. The exam will cover the entire year with an emphasis on the materials of the second</w:t>
      </w:r>
      <w:r>
        <w:t xml:space="preserve"> </w:t>
      </w:r>
      <w:r w:rsidRPr="00DA26F5">
        <w:t>term. You will be given study questions prior to the exam to assist your preparation.</w:t>
      </w:r>
    </w:p>
    <w:p w14:paraId="623B32FD" w14:textId="77777777" w:rsidR="00B206BD" w:rsidRDefault="00B206BD" w:rsidP="00DA26F5">
      <w:pPr>
        <w:jc w:val="both"/>
      </w:pPr>
    </w:p>
    <w:p w14:paraId="14200A60" w14:textId="25B82589" w:rsidR="00B206BD" w:rsidRPr="00A46E56" w:rsidRDefault="00B206BD" w:rsidP="00DA26F5">
      <w:pPr>
        <w:jc w:val="both"/>
      </w:pPr>
      <w:r w:rsidRPr="00A46E56">
        <w:rPr>
          <w:b/>
        </w:rPr>
        <w:t xml:space="preserve">Tutorial journal: </w:t>
      </w:r>
      <w:r w:rsidR="00A46E56" w:rsidRPr="00A46E56">
        <w:t>Students</w:t>
      </w:r>
      <w:r w:rsidR="00A46E56">
        <w:t xml:space="preserve"> are required to keep a journal in which they reflect on their everyday experience with law. This could take the form of a reflection on a newspaper article, video or current event that you read/saw and that is related to what we are doing in class. You are required to write a journal entry once every two weeks. Tutorial leaders will collect and read journals, and you will share your journal entry with students in your tutorial.</w:t>
      </w:r>
      <w:r w:rsidR="0085023F">
        <w:t xml:space="preserve"> This should also help your tutorial with ideas for the spoken word event on March 24</w:t>
      </w:r>
      <w:r w:rsidR="0085023F" w:rsidRPr="0085023F">
        <w:rPr>
          <w:vertAlign w:val="superscript"/>
        </w:rPr>
        <w:t>th</w:t>
      </w:r>
      <w:r w:rsidR="0085023F">
        <w:t xml:space="preserve">. </w:t>
      </w:r>
      <w:r w:rsidR="00D1357B">
        <w:t xml:space="preserve">This assignment will be evaluated as a pass/fail assignment. </w:t>
      </w:r>
    </w:p>
    <w:p w14:paraId="078A126B" w14:textId="77777777" w:rsidR="006F3F03" w:rsidRDefault="006F3F03" w:rsidP="00DA26F5">
      <w:pPr>
        <w:jc w:val="both"/>
        <w:rPr>
          <w:b/>
          <w:bCs/>
        </w:rPr>
      </w:pPr>
    </w:p>
    <w:p w14:paraId="56F1417A" w14:textId="77777777" w:rsidR="006F3F03" w:rsidRPr="00DA26F5" w:rsidRDefault="006F3F03" w:rsidP="00DA26F5">
      <w:pPr>
        <w:jc w:val="both"/>
      </w:pPr>
      <w:r w:rsidRPr="00DA26F5">
        <w:rPr>
          <w:b/>
          <w:bCs/>
        </w:rPr>
        <w:t>Grading</w:t>
      </w:r>
      <w:r w:rsidRPr="00DA26F5">
        <w:t>: Assignments and tests will bear a percentage grade designation (e.g. 80%, 72%,</w:t>
      </w:r>
      <w:r>
        <w:t xml:space="preserve"> </w:t>
      </w:r>
      <w:r w:rsidRPr="00DA26F5">
        <w:t>65%, 55% etc.). The final grade will be calculated into a letter grade that conforms with York’s</w:t>
      </w:r>
      <w:r>
        <w:t xml:space="preserve"> </w:t>
      </w:r>
      <w:r w:rsidRPr="00DA26F5">
        <w:t>grading system. For a full description of York grading system see the York University</w:t>
      </w:r>
      <w:r>
        <w:t xml:space="preserve"> </w:t>
      </w:r>
      <w:r w:rsidRPr="00DA26F5">
        <w:t>Undergraduate Calendar</w:t>
      </w:r>
    </w:p>
    <w:p w14:paraId="0069BE6A" w14:textId="77777777" w:rsidR="006F3F03" w:rsidRPr="00DA26F5" w:rsidRDefault="006F3F03" w:rsidP="00DA26F5">
      <w:pPr>
        <w:jc w:val="both"/>
      </w:pPr>
      <w:r w:rsidRPr="00DA26F5">
        <w:t>(http://calendars.registrar.yorku.ca/pdfs/ug2004cal/calug04_5_acadinfo.pdf).</w:t>
      </w:r>
    </w:p>
    <w:p w14:paraId="73BA9ADB" w14:textId="77777777" w:rsidR="006F3F03" w:rsidRDefault="006F3F03" w:rsidP="00DA26F5">
      <w:pPr>
        <w:jc w:val="both"/>
        <w:rPr>
          <w:b/>
          <w:bCs/>
        </w:rPr>
      </w:pPr>
    </w:p>
    <w:p w14:paraId="58D3C629" w14:textId="5D2667C5" w:rsidR="006F3F03" w:rsidRDefault="006F3F03" w:rsidP="00DA26F5">
      <w:pPr>
        <w:jc w:val="both"/>
      </w:pPr>
      <w:r w:rsidRPr="00DA26F5">
        <w:rPr>
          <w:b/>
          <w:bCs/>
        </w:rPr>
        <w:t>Assignment Submission</w:t>
      </w:r>
      <w:r w:rsidRPr="00DA26F5">
        <w:t>: Proper academic performance depends on students doing</w:t>
      </w:r>
      <w:r>
        <w:t xml:space="preserve"> </w:t>
      </w:r>
      <w:r w:rsidRPr="00DA26F5">
        <w:t>their work not only well, but on time. Assignments for this course must be received on</w:t>
      </w:r>
      <w:r>
        <w:t xml:space="preserve"> </w:t>
      </w:r>
      <w:r w:rsidRPr="00DA26F5">
        <w:t>the due date specified for the assignment. Assignments are to be handed in hard copy,</w:t>
      </w:r>
      <w:r>
        <w:t xml:space="preserve"> </w:t>
      </w:r>
      <w:r w:rsidRPr="00DA26F5">
        <w:t>at the beginning of the lecture on the date indicated</w:t>
      </w:r>
      <w:r w:rsidR="00A46E56">
        <w:t xml:space="preserve"> and through </w:t>
      </w:r>
      <w:r w:rsidR="00A46E56" w:rsidRPr="00A46E56">
        <w:t>Moodle</w:t>
      </w:r>
      <w:r w:rsidRPr="00A46E56">
        <w:t>.</w:t>
      </w:r>
      <w:r w:rsidR="00A46E56" w:rsidRPr="00A46E56">
        <w:rPr>
          <w:b/>
        </w:rPr>
        <w:t xml:space="preserve"> We will not accept assignments that are not submitted in hard copy and through Moodle</w:t>
      </w:r>
      <w:r w:rsidR="00A46E56">
        <w:t xml:space="preserve">. </w:t>
      </w:r>
      <w:r w:rsidRPr="00DA26F5">
        <w:t xml:space="preserve"> Assignments must clearly indicate</w:t>
      </w:r>
      <w:r>
        <w:t xml:space="preserve"> </w:t>
      </w:r>
      <w:r w:rsidRPr="0011031E">
        <w:rPr>
          <w:u w:val="single"/>
        </w:rPr>
        <w:t>your name and student number, as well as the name of your tutorial leader</w:t>
      </w:r>
      <w:r w:rsidR="001E728E">
        <w:t xml:space="preserve">. </w:t>
      </w:r>
    </w:p>
    <w:p w14:paraId="4F65EBD5" w14:textId="77777777" w:rsidR="006F3F03" w:rsidRPr="00DA26F5" w:rsidRDefault="006F3F03" w:rsidP="00DA26F5">
      <w:pPr>
        <w:jc w:val="both"/>
      </w:pPr>
    </w:p>
    <w:p w14:paraId="14153B86" w14:textId="77777777" w:rsidR="006F3F03" w:rsidRPr="00B24444" w:rsidRDefault="006F3F03" w:rsidP="00DA26F5">
      <w:pPr>
        <w:jc w:val="both"/>
        <w:rPr>
          <w:b/>
          <w:bCs/>
        </w:rPr>
      </w:pPr>
      <w:r w:rsidRPr="00DA26F5">
        <w:rPr>
          <w:b/>
          <w:bCs/>
        </w:rPr>
        <w:t xml:space="preserve">Lateness Penalty: </w:t>
      </w:r>
      <w:r w:rsidRPr="00DA26F5">
        <w:t xml:space="preserve">Assignments received later than the due date will be penalized </w:t>
      </w:r>
      <w:r w:rsidRPr="00DA26F5">
        <w:rPr>
          <w:b/>
          <w:bCs/>
        </w:rPr>
        <w:t>two</w:t>
      </w:r>
      <w:r>
        <w:rPr>
          <w:b/>
          <w:bCs/>
        </w:rPr>
        <w:t xml:space="preserve"> </w:t>
      </w:r>
      <w:r w:rsidRPr="00DA26F5">
        <w:rPr>
          <w:b/>
          <w:bCs/>
        </w:rPr>
        <w:t xml:space="preserve">percent per day </w:t>
      </w:r>
      <w:r w:rsidRPr="00DA26F5">
        <w:rPr>
          <w:i/>
          <w:iCs/>
        </w:rPr>
        <w:t xml:space="preserve">(2% per day). </w:t>
      </w:r>
      <w:r w:rsidRPr="00DA26F5">
        <w:t>Exceptions to the lateness penalty for valid reasons such as</w:t>
      </w:r>
      <w:r>
        <w:rPr>
          <w:b/>
          <w:bCs/>
        </w:rPr>
        <w:t xml:space="preserve"> </w:t>
      </w:r>
      <w:r w:rsidRPr="00DA26F5">
        <w:t>illness may be entertained but will require supporting documentation (e.g., an Attending</w:t>
      </w:r>
      <w:r>
        <w:rPr>
          <w:b/>
          <w:bCs/>
        </w:rPr>
        <w:t xml:space="preserve"> </w:t>
      </w:r>
      <w:r w:rsidRPr="00DA26F5">
        <w:t xml:space="preserve">Physician’s Statement). You </w:t>
      </w:r>
      <w:r w:rsidRPr="00DA26F5">
        <w:rPr>
          <w:b/>
          <w:bCs/>
        </w:rPr>
        <w:t xml:space="preserve">must have doctors use </w:t>
      </w:r>
      <w:r w:rsidRPr="00DA26F5">
        <w:t>the “Attending Physician’s Statement”</w:t>
      </w:r>
      <w:r>
        <w:t xml:space="preserve"> </w:t>
      </w:r>
      <w:r w:rsidRPr="00DA26F5">
        <w:t>form provided by the Office of the Registrar at:</w:t>
      </w:r>
    </w:p>
    <w:p w14:paraId="0D9941CC" w14:textId="77777777" w:rsidR="006F3F03" w:rsidRDefault="0013658F" w:rsidP="00DA26F5">
      <w:pPr>
        <w:jc w:val="both"/>
      </w:pPr>
      <w:hyperlink r:id="rId10" w:anchor="6" w:history="1">
        <w:r w:rsidR="006F3F03" w:rsidRPr="00E62E85">
          <w:rPr>
            <w:rStyle w:val="Hyperlink"/>
          </w:rPr>
          <w:t>http://www.registrar.yorku.ca/services/petitions/forms.htm#6</w:t>
        </w:r>
      </w:hyperlink>
    </w:p>
    <w:p w14:paraId="4B7DF8D7" w14:textId="77777777" w:rsidR="006F3F03" w:rsidRPr="00DA26F5" w:rsidRDefault="006F3F03" w:rsidP="00DA26F5">
      <w:pPr>
        <w:jc w:val="both"/>
      </w:pPr>
    </w:p>
    <w:p w14:paraId="3AC01FC1" w14:textId="77777777" w:rsidR="001E728E" w:rsidRDefault="006F3F03" w:rsidP="00DA26F5">
      <w:pPr>
        <w:jc w:val="both"/>
      </w:pPr>
      <w:r w:rsidRPr="00DA26F5">
        <w:rPr>
          <w:b/>
          <w:bCs/>
        </w:rPr>
        <w:t xml:space="preserve">Missed Exam: </w:t>
      </w:r>
      <w:r>
        <w:t>Stu</w:t>
      </w:r>
      <w:r w:rsidR="005A7D56">
        <w:t>dents are to inform Prof Barras</w:t>
      </w:r>
      <w:r>
        <w:t xml:space="preserve"> </w:t>
      </w:r>
      <w:r w:rsidRPr="00DA26F5">
        <w:t>immediately if they are</w:t>
      </w:r>
      <w:r>
        <w:t xml:space="preserve"> </w:t>
      </w:r>
      <w:r w:rsidRPr="00DA26F5">
        <w:t>unable to write the final exam on its scheduled date. You must provide a documented reason</w:t>
      </w:r>
      <w:r>
        <w:t xml:space="preserve"> </w:t>
      </w:r>
      <w:r w:rsidRPr="00DA26F5">
        <w:t>for missing the exam – such as illness, which is confirmed by supporting documentation (e.g.,</w:t>
      </w:r>
      <w:r>
        <w:t xml:space="preserve"> </w:t>
      </w:r>
      <w:r w:rsidRPr="00DA26F5">
        <w:t>doctor’s letter). With this, you may ask for accommodation from the Course Director in order to</w:t>
      </w:r>
      <w:r>
        <w:t xml:space="preserve"> </w:t>
      </w:r>
      <w:r w:rsidRPr="00DA26F5">
        <w:t>write a make-up exam which will be held within 10 days of the</w:t>
      </w:r>
      <w:r>
        <w:t xml:space="preserve"> originally scheduled exam</w:t>
      </w:r>
      <w:r w:rsidRPr="00DA26F5">
        <w:t>.</w:t>
      </w:r>
    </w:p>
    <w:p w14:paraId="778F0C2C" w14:textId="77777777" w:rsidR="006F3F03" w:rsidRDefault="006F3F03" w:rsidP="00DA26F5">
      <w:pPr>
        <w:jc w:val="both"/>
      </w:pPr>
      <w:r>
        <w:br w:type="page"/>
      </w:r>
      <w:r w:rsidRPr="007102FA">
        <w:rPr>
          <w:b/>
          <w:bCs/>
        </w:rPr>
        <w:t>COURSE OUTLINE</w:t>
      </w:r>
      <w:r>
        <w:t>:</w:t>
      </w:r>
      <w:r w:rsidR="006B43FD">
        <w:t xml:space="preserve"> </w:t>
      </w:r>
    </w:p>
    <w:p w14:paraId="45D2E4C0" w14:textId="77777777" w:rsidR="006F3F03" w:rsidRPr="00587CC0" w:rsidRDefault="006F3F03" w:rsidP="00DA26F5">
      <w:pPr>
        <w:jc w:val="both"/>
        <w:rPr>
          <w:b/>
        </w:rPr>
      </w:pPr>
    </w:p>
    <w:p w14:paraId="469E81D3" w14:textId="77777777" w:rsidR="00587CC0" w:rsidRPr="00587CC0" w:rsidRDefault="00587CC0" w:rsidP="00DA26F5">
      <w:pPr>
        <w:jc w:val="both"/>
        <w:rPr>
          <w:b/>
        </w:rPr>
      </w:pPr>
    </w:p>
    <w:p w14:paraId="49E760F5" w14:textId="571B88D0" w:rsidR="006F3F03" w:rsidRPr="00A46E56" w:rsidRDefault="00D576BF" w:rsidP="00DA26F5">
      <w:pPr>
        <w:jc w:val="both"/>
        <w:rPr>
          <w:bCs/>
        </w:rPr>
      </w:pPr>
      <w:r>
        <w:rPr>
          <w:b/>
          <w:bCs/>
        </w:rPr>
        <w:t xml:space="preserve">1. </w:t>
      </w:r>
      <w:r w:rsidR="005A7D56">
        <w:rPr>
          <w:b/>
          <w:bCs/>
        </w:rPr>
        <w:t>September 10</w:t>
      </w:r>
      <w:r w:rsidR="006F3F03" w:rsidRPr="007102FA">
        <w:rPr>
          <w:b/>
          <w:bCs/>
        </w:rPr>
        <w:t>: Introduction to Course and Law &amp; Society</w:t>
      </w:r>
      <w:r w:rsidR="00A46E56">
        <w:rPr>
          <w:b/>
          <w:bCs/>
        </w:rPr>
        <w:t xml:space="preserve"> </w:t>
      </w:r>
    </w:p>
    <w:p w14:paraId="4DABFC13" w14:textId="77777777" w:rsidR="006F3F03" w:rsidRPr="00A46E56" w:rsidRDefault="006F3F03" w:rsidP="00C529B1">
      <w:pPr>
        <w:jc w:val="both"/>
      </w:pPr>
      <w:r w:rsidRPr="00A46E56">
        <w:t xml:space="preserve">Calavita – </w:t>
      </w:r>
      <w:r w:rsidRPr="00A46E56">
        <w:rPr>
          <w:i/>
          <w:iCs/>
        </w:rPr>
        <w:t>Invitation to Law &amp; Society</w:t>
      </w:r>
      <w:r w:rsidRPr="00A46E56">
        <w:t>, Chapter 1, “Introduction” pp 1-9</w:t>
      </w:r>
    </w:p>
    <w:p w14:paraId="244B5F45" w14:textId="77777777" w:rsidR="00E36D2D" w:rsidRPr="00A46E56" w:rsidRDefault="00E36D2D" w:rsidP="00E36D2D">
      <w:pPr>
        <w:jc w:val="both"/>
      </w:pPr>
      <w:r w:rsidRPr="00A46E56">
        <w:t xml:space="preserve">Arthurs, H and Annie, B (2014). Socio-legal Scholarship in Canada: A Review of the Field. </w:t>
      </w:r>
      <w:r w:rsidRPr="00A46E56">
        <w:rPr>
          <w:i/>
        </w:rPr>
        <w:t>British Journal of Law and Society</w:t>
      </w:r>
      <w:r w:rsidRPr="00A46E56">
        <w:t>. 41 (4)</w:t>
      </w:r>
    </w:p>
    <w:p w14:paraId="50736D32" w14:textId="77777777" w:rsidR="00E36D2D" w:rsidRDefault="00E36D2D" w:rsidP="00C529B1">
      <w:pPr>
        <w:jc w:val="both"/>
      </w:pPr>
    </w:p>
    <w:p w14:paraId="28AA31F5" w14:textId="64AB8F63" w:rsidR="00E36D2D" w:rsidRDefault="00E36D2D" w:rsidP="00C529B1">
      <w:pPr>
        <w:jc w:val="both"/>
      </w:pPr>
      <w:r>
        <w:t>Suggested:</w:t>
      </w:r>
    </w:p>
    <w:p w14:paraId="798DD00D" w14:textId="77777777" w:rsidR="00E36D2D" w:rsidRDefault="00E36D2D" w:rsidP="00E36D2D">
      <w:pPr>
        <w:jc w:val="both"/>
      </w:pPr>
      <w:r>
        <w:t xml:space="preserve">Vago – </w:t>
      </w:r>
      <w:r w:rsidRPr="00B104F6">
        <w:rPr>
          <w:i/>
          <w:iCs/>
        </w:rPr>
        <w:t>Law &amp; Society</w:t>
      </w:r>
      <w:r>
        <w:rPr>
          <w:i/>
          <w:iCs/>
        </w:rPr>
        <w:t>,</w:t>
      </w:r>
      <w:r>
        <w:t xml:space="preserve"> “Introduction” at pp 16-21</w:t>
      </w:r>
    </w:p>
    <w:p w14:paraId="7A9296AE" w14:textId="77777777" w:rsidR="00E36D2D" w:rsidRDefault="00E36D2D" w:rsidP="00C529B1">
      <w:pPr>
        <w:jc w:val="both"/>
      </w:pPr>
    </w:p>
    <w:p w14:paraId="59F24615" w14:textId="77777777" w:rsidR="006F3F03" w:rsidRDefault="006F3F03" w:rsidP="00C529B1">
      <w:pPr>
        <w:jc w:val="both"/>
      </w:pPr>
    </w:p>
    <w:p w14:paraId="3E778406" w14:textId="374D4702" w:rsidR="006F3F03" w:rsidRPr="00A46E56" w:rsidRDefault="00D576BF" w:rsidP="00C529B1">
      <w:pPr>
        <w:jc w:val="both"/>
        <w:rPr>
          <w:bCs/>
        </w:rPr>
      </w:pPr>
      <w:r>
        <w:rPr>
          <w:b/>
          <w:bCs/>
        </w:rPr>
        <w:t xml:space="preserve">2. </w:t>
      </w:r>
      <w:r w:rsidR="005A7D56">
        <w:rPr>
          <w:b/>
          <w:bCs/>
        </w:rPr>
        <w:t>September 17</w:t>
      </w:r>
      <w:r w:rsidR="006F3F03" w:rsidRPr="007102FA">
        <w:rPr>
          <w:b/>
          <w:bCs/>
        </w:rPr>
        <w:t xml:space="preserve">: </w:t>
      </w:r>
      <w:r w:rsidR="00A801CC">
        <w:rPr>
          <w:b/>
          <w:bCs/>
        </w:rPr>
        <w:t>The field of law and society, law’s organization and l</w:t>
      </w:r>
      <w:r w:rsidR="006F3F03" w:rsidRPr="007102FA">
        <w:rPr>
          <w:b/>
          <w:bCs/>
        </w:rPr>
        <w:t xml:space="preserve">aw </w:t>
      </w:r>
      <w:r w:rsidR="005A7D56">
        <w:rPr>
          <w:b/>
          <w:bCs/>
        </w:rPr>
        <w:t>–</w:t>
      </w:r>
      <w:r w:rsidR="00A801CC">
        <w:rPr>
          <w:b/>
          <w:bCs/>
        </w:rPr>
        <w:t>m</w:t>
      </w:r>
      <w:r w:rsidR="006F3F03" w:rsidRPr="007102FA">
        <w:rPr>
          <w:b/>
          <w:bCs/>
        </w:rPr>
        <w:t>aking</w:t>
      </w:r>
      <w:r w:rsidR="00A46E56">
        <w:rPr>
          <w:b/>
          <w:bCs/>
        </w:rPr>
        <w:t xml:space="preserve"> </w:t>
      </w:r>
    </w:p>
    <w:p w14:paraId="0A109F58" w14:textId="4922CACC" w:rsidR="006F3F03" w:rsidRPr="00A46E56" w:rsidRDefault="006F3F03" w:rsidP="00C529B1">
      <w:pPr>
        <w:jc w:val="both"/>
      </w:pPr>
      <w:r w:rsidRPr="00A46E56">
        <w:t xml:space="preserve">Vago – pp </w:t>
      </w:r>
      <w:r w:rsidR="00E36D2D" w:rsidRPr="00A46E56">
        <w:t>57-88</w:t>
      </w:r>
      <w:r w:rsidR="005A7D56" w:rsidRPr="00A46E56">
        <w:t xml:space="preserve"> (Organization), pp </w:t>
      </w:r>
      <w:r w:rsidR="00E36D2D" w:rsidRPr="00A46E56">
        <w:t>10</w:t>
      </w:r>
      <w:r w:rsidR="005A7D56" w:rsidRPr="00A46E56">
        <w:t>8-133</w:t>
      </w:r>
      <w:r w:rsidRPr="00A46E56">
        <w:t xml:space="preserve"> (Lawmaking)</w:t>
      </w:r>
    </w:p>
    <w:p w14:paraId="3ABD992F" w14:textId="77777777" w:rsidR="005A1C8F" w:rsidRPr="00A46E56" w:rsidRDefault="0015249B" w:rsidP="00C529B1">
      <w:pPr>
        <w:jc w:val="both"/>
      </w:pPr>
      <w:r w:rsidRPr="00A46E56">
        <w:t xml:space="preserve">Engle, D (1995). The Oven Birds Song: Inside, Outsiders and Personal Injuries in an American Community. </w:t>
      </w:r>
    </w:p>
    <w:p w14:paraId="16AA6BFB" w14:textId="77777777" w:rsidR="00AA4E8F" w:rsidRPr="00367FF2" w:rsidRDefault="00AA4E8F" w:rsidP="00C529B1">
      <w:pPr>
        <w:jc w:val="both"/>
        <w:rPr>
          <w:color w:val="FF0000"/>
        </w:rPr>
      </w:pPr>
    </w:p>
    <w:p w14:paraId="22FD2FBD" w14:textId="77777777" w:rsidR="006F3F03" w:rsidRDefault="006F3F03" w:rsidP="00C529B1">
      <w:pPr>
        <w:jc w:val="both"/>
      </w:pPr>
    </w:p>
    <w:p w14:paraId="661D17EF" w14:textId="2AA9E08F" w:rsidR="00AD24D6" w:rsidRPr="00A46E56" w:rsidRDefault="00D576BF" w:rsidP="00C529B1">
      <w:pPr>
        <w:jc w:val="both"/>
        <w:rPr>
          <w:bCs/>
        </w:rPr>
      </w:pPr>
      <w:r>
        <w:rPr>
          <w:b/>
          <w:bCs/>
        </w:rPr>
        <w:t xml:space="preserve">3. </w:t>
      </w:r>
      <w:r w:rsidR="005A7D56">
        <w:rPr>
          <w:b/>
          <w:bCs/>
        </w:rPr>
        <w:t>September 24</w:t>
      </w:r>
      <w:r w:rsidR="006F3F03" w:rsidRPr="007102FA">
        <w:rPr>
          <w:b/>
          <w:bCs/>
        </w:rPr>
        <w:t>: The Legal Profession and Dispute Resolution</w:t>
      </w:r>
      <w:r w:rsidR="00A46E56">
        <w:rPr>
          <w:b/>
          <w:bCs/>
        </w:rPr>
        <w:t xml:space="preserve"> </w:t>
      </w:r>
    </w:p>
    <w:p w14:paraId="09F2821B" w14:textId="77777777" w:rsidR="00692AD5" w:rsidRPr="00A46E56" w:rsidRDefault="00692AD5" w:rsidP="00692AD5">
      <w:pPr>
        <w:jc w:val="both"/>
      </w:pPr>
      <w:r w:rsidRPr="00A46E56">
        <w:t xml:space="preserve">Vago – pp 175-207 (Dispute resolution) </w:t>
      </w:r>
    </w:p>
    <w:p w14:paraId="37760E0A" w14:textId="77777777" w:rsidR="009A5D36" w:rsidRPr="00A46E56" w:rsidRDefault="009A5D36" w:rsidP="00C529B1">
      <w:pPr>
        <w:jc w:val="both"/>
      </w:pPr>
      <w:r w:rsidRPr="00A46E56">
        <w:t>Neallini –  “Women of Colour in the Legal Profession” pp 148-165</w:t>
      </w:r>
    </w:p>
    <w:p w14:paraId="4705735E" w14:textId="43097CA0" w:rsidR="00AA4E8F" w:rsidRPr="00A46E56" w:rsidRDefault="00E3394B" w:rsidP="00C529B1">
      <w:pPr>
        <w:jc w:val="both"/>
      </w:pPr>
      <w:r>
        <w:t>Merry (1979</w:t>
      </w:r>
      <w:r w:rsidR="00AD24D6" w:rsidRPr="00A46E56">
        <w:t>). Going to Court: Strategies of Dispute Management in an American Urban Neighborhood. 36-58</w:t>
      </w:r>
    </w:p>
    <w:p w14:paraId="309A3B82" w14:textId="77777777" w:rsidR="000D3E33" w:rsidRPr="00A46E56" w:rsidRDefault="000D3E33" w:rsidP="009A5D36">
      <w:pPr>
        <w:jc w:val="both"/>
      </w:pPr>
    </w:p>
    <w:p w14:paraId="27E9BEAC" w14:textId="77777777" w:rsidR="000D3E33" w:rsidRPr="00A46E56" w:rsidRDefault="000D3E33" w:rsidP="009A5D36">
      <w:pPr>
        <w:jc w:val="both"/>
      </w:pPr>
      <w:r w:rsidRPr="00A46E56">
        <w:t xml:space="preserve">Suggested: </w:t>
      </w:r>
    </w:p>
    <w:p w14:paraId="25264260" w14:textId="77777777" w:rsidR="00A46E56" w:rsidRPr="00A46E56" w:rsidRDefault="00A46E56" w:rsidP="00A46E56">
      <w:pPr>
        <w:jc w:val="both"/>
      </w:pPr>
    </w:p>
    <w:p w14:paraId="46542542" w14:textId="22189170" w:rsidR="00A46E56" w:rsidRPr="00A46E56" w:rsidRDefault="00A46E56" w:rsidP="009A5D36">
      <w:pPr>
        <w:jc w:val="both"/>
      </w:pPr>
      <w:r w:rsidRPr="00A46E56">
        <w:t xml:space="preserve">Marc Galanter (1974) “Why the Haves Come Out Ahead: Speculations on the Limits of Legal Change” 9 Law &amp; Society Review 95 – 124 </w:t>
      </w:r>
    </w:p>
    <w:p w14:paraId="4D449B29" w14:textId="77777777" w:rsidR="000D3E33" w:rsidRPr="00A46E56" w:rsidRDefault="000D3E33" w:rsidP="009A5D36">
      <w:pPr>
        <w:jc w:val="both"/>
      </w:pPr>
      <w:r w:rsidRPr="00A46E56">
        <w:t xml:space="preserve">Valverde, M (2012). Driving a Taxi: City Fathers’ Myth of Immigrant Self-Employment (chap7) in Everyday Law on the Street. University of Chicago Press. </w:t>
      </w:r>
    </w:p>
    <w:p w14:paraId="60497952" w14:textId="77777777" w:rsidR="00B206BD" w:rsidRPr="00B206BD" w:rsidRDefault="00B206BD" w:rsidP="00C529B1">
      <w:pPr>
        <w:jc w:val="both"/>
      </w:pPr>
    </w:p>
    <w:p w14:paraId="3777C955" w14:textId="77777777" w:rsidR="006F3F03" w:rsidRDefault="006F3F03" w:rsidP="00C529B1">
      <w:pPr>
        <w:jc w:val="both"/>
      </w:pPr>
    </w:p>
    <w:p w14:paraId="0973A503" w14:textId="521896B4" w:rsidR="006F3F03" w:rsidRPr="007102FA" w:rsidRDefault="00E36D2D" w:rsidP="00C529B1">
      <w:pPr>
        <w:jc w:val="both"/>
        <w:rPr>
          <w:b/>
          <w:bCs/>
        </w:rPr>
      </w:pPr>
      <w:r>
        <w:rPr>
          <w:b/>
          <w:bCs/>
        </w:rPr>
        <w:t>4</w:t>
      </w:r>
      <w:r w:rsidR="00D576BF">
        <w:rPr>
          <w:b/>
          <w:bCs/>
        </w:rPr>
        <w:t xml:space="preserve">. </w:t>
      </w:r>
      <w:r>
        <w:rPr>
          <w:b/>
          <w:bCs/>
        </w:rPr>
        <w:t>October 1</w:t>
      </w:r>
      <w:r w:rsidR="005A7D56">
        <w:rPr>
          <w:b/>
          <w:bCs/>
        </w:rPr>
        <w:t xml:space="preserve"> </w:t>
      </w:r>
      <w:r w:rsidR="006F3F03" w:rsidRPr="007102FA">
        <w:rPr>
          <w:b/>
          <w:bCs/>
        </w:rPr>
        <w:t>: The Constitution and the Charter</w:t>
      </w:r>
      <w:r>
        <w:rPr>
          <w:b/>
          <w:bCs/>
        </w:rPr>
        <w:t xml:space="preserve"> </w:t>
      </w:r>
      <w:r w:rsidRPr="00A46E56">
        <w:rPr>
          <w:bCs/>
        </w:rPr>
        <w:t>(include d</w:t>
      </w:r>
      <w:r w:rsidR="009D3938" w:rsidRPr="00A46E56">
        <w:rPr>
          <w:bCs/>
        </w:rPr>
        <w:t>iscussion on how to read a case</w:t>
      </w:r>
      <w:r w:rsidRPr="00A46E56">
        <w:rPr>
          <w:bCs/>
        </w:rPr>
        <w:t>)</w:t>
      </w:r>
      <w:r w:rsidR="00A46E56">
        <w:rPr>
          <w:bCs/>
        </w:rPr>
        <w:t xml:space="preserve"> </w:t>
      </w:r>
    </w:p>
    <w:p w14:paraId="348E237B" w14:textId="77777777" w:rsidR="006F3F03" w:rsidRDefault="00FF308D" w:rsidP="00C529B1">
      <w:pPr>
        <w:jc w:val="both"/>
      </w:pPr>
      <w:r>
        <w:t xml:space="preserve">Boyd – </w:t>
      </w:r>
      <w:r w:rsidR="006F3F03">
        <w:t xml:space="preserve"> “The Constitution of Canada” pp 103-149</w:t>
      </w:r>
    </w:p>
    <w:p w14:paraId="4BF3F2C9" w14:textId="77777777" w:rsidR="006F3F03" w:rsidRDefault="00FF308D" w:rsidP="00C529B1">
      <w:pPr>
        <w:jc w:val="both"/>
      </w:pPr>
      <w:r>
        <w:t>Roach –</w:t>
      </w:r>
      <w:r w:rsidR="006F3F03">
        <w:t xml:space="preserve"> “The Myths of Judicial Activism” pp 207-223</w:t>
      </w:r>
    </w:p>
    <w:p w14:paraId="1D0FC4EF" w14:textId="77777777" w:rsidR="00A801CC" w:rsidRPr="00A46E56" w:rsidRDefault="00A801CC" w:rsidP="00A801CC">
      <w:pPr>
        <w:jc w:val="both"/>
      </w:pPr>
      <w:r w:rsidRPr="00A46E56">
        <w:t>McLachlin –  “Charter Myths” pp 1-14</w:t>
      </w:r>
    </w:p>
    <w:p w14:paraId="6EE68882" w14:textId="77777777" w:rsidR="00A801CC" w:rsidRDefault="00A801CC" w:rsidP="00C529B1">
      <w:pPr>
        <w:jc w:val="both"/>
      </w:pPr>
    </w:p>
    <w:p w14:paraId="2456A6C0" w14:textId="77777777" w:rsidR="00BE080E" w:rsidRPr="00A46E56" w:rsidRDefault="00BE080E" w:rsidP="00C529B1">
      <w:pPr>
        <w:jc w:val="both"/>
      </w:pPr>
      <w:r w:rsidRPr="00A46E56">
        <w:t xml:space="preserve">Suggested: </w:t>
      </w:r>
    </w:p>
    <w:p w14:paraId="3A9AFC7F" w14:textId="7B83130D" w:rsidR="00A801CC" w:rsidRPr="0097384C" w:rsidRDefault="00A801CC" w:rsidP="00A801CC">
      <w:pPr>
        <w:jc w:val="both"/>
      </w:pPr>
      <w:r w:rsidRPr="00A801CC">
        <w:t xml:space="preserve">Smith, M – “Social Movements and Judicial Empowerment: Courts, Public Policy and Lesbian and Gay Organizing in Canada”. Politics &amp; Society 33(2). </w:t>
      </w:r>
    </w:p>
    <w:p w14:paraId="4165A88C" w14:textId="77777777" w:rsidR="00587CC0" w:rsidRDefault="00587CC0" w:rsidP="00C529B1">
      <w:pPr>
        <w:jc w:val="both"/>
      </w:pPr>
    </w:p>
    <w:p w14:paraId="75676864" w14:textId="77777777" w:rsidR="00A801CC" w:rsidRDefault="00A801CC" w:rsidP="00C529B1">
      <w:pPr>
        <w:jc w:val="both"/>
      </w:pPr>
    </w:p>
    <w:p w14:paraId="73FFCDEF" w14:textId="145A5F8B" w:rsidR="0018432D" w:rsidRPr="00A46E56" w:rsidRDefault="00E36D2D" w:rsidP="00275E1E">
      <w:pPr>
        <w:jc w:val="both"/>
        <w:rPr>
          <w:bCs/>
        </w:rPr>
      </w:pPr>
      <w:r>
        <w:rPr>
          <w:b/>
          <w:bCs/>
        </w:rPr>
        <w:t>5</w:t>
      </w:r>
      <w:r w:rsidR="00D576BF">
        <w:rPr>
          <w:b/>
          <w:bCs/>
        </w:rPr>
        <w:t xml:space="preserve">. </w:t>
      </w:r>
      <w:r>
        <w:rPr>
          <w:b/>
          <w:bCs/>
        </w:rPr>
        <w:t>October 8</w:t>
      </w:r>
      <w:r w:rsidR="0018432D">
        <w:rPr>
          <w:b/>
          <w:bCs/>
        </w:rPr>
        <w:t>: Legal traditions</w:t>
      </w:r>
      <w:r w:rsidR="00A46E56">
        <w:rPr>
          <w:b/>
          <w:bCs/>
        </w:rPr>
        <w:t xml:space="preserve"> </w:t>
      </w:r>
    </w:p>
    <w:p w14:paraId="378C4A2D" w14:textId="77777777" w:rsidR="0018432D" w:rsidRDefault="0018432D" w:rsidP="00275E1E">
      <w:pPr>
        <w:jc w:val="both"/>
        <w:rPr>
          <w:b/>
          <w:bCs/>
        </w:rPr>
      </w:pPr>
    </w:p>
    <w:p w14:paraId="1C068009" w14:textId="77777777" w:rsidR="00AA4E8F" w:rsidRDefault="00AA4E8F" w:rsidP="00275E1E">
      <w:pPr>
        <w:jc w:val="both"/>
        <w:rPr>
          <w:bCs/>
        </w:rPr>
      </w:pPr>
      <w:r w:rsidRPr="00AA4E8F">
        <w:rPr>
          <w:bCs/>
        </w:rPr>
        <w:t>Robbins, Civil and Common Law</w:t>
      </w:r>
      <w:r>
        <w:rPr>
          <w:bCs/>
        </w:rPr>
        <w:t xml:space="preserve">, </w:t>
      </w:r>
      <w:hyperlink r:id="rId11" w:history="1">
        <w:r w:rsidRPr="0031555E">
          <w:rPr>
            <w:rStyle w:val="Hyperlink"/>
            <w:bCs/>
          </w:rPr>
          <w:t>https://www.law.berkeley.edu/library/robbins/pdf/CommonLawCivilLawTraditions.pdf</w:t>
        </w:r>
      </w:hyperlink>
    </w:p>
    <w:p w14:paraId="406A8B06" w14:textId="17A1EDC4" w:rsidR="00AA4E8F" w:rsidRDefault="00AA4E8F" w:rsidP="00275E1E">
      <w:pPr>
        <w:jc w:val="both"/>
        <w:rPr>
          <w:bCs/>
        </w:rPr>
      </w:pPr>
      <w:r w:rsidRPr="00AA4E8F">
        <w:rPr>
          <w:bCs/>
        </w:rPr>
        <w:t>Merry (</w:t>
      </w:r>
      <w:r w:rsidRPr="0013658F">
        <w:rPr>
          <w:bCs/>
        </w:rPr>
        <w:t>2012)</w:t>
      </w:r>
      <w:r w:rsidR="0058492D" w:rsidRPr="0013658F">
        <w:rPr>
          <w:bCs/>
        </w:rPr>
        <w:t>.</w:t>
      </w:r>
      <w:r w:rsidRPr="0013658F">
        <w:rPr>
          <w:bCs/>
        </w:rPr>
        <w:t xml:space="preserve"> “Legal Pluralism and Legal Culture: Mapping the Terrain.”</w:t>
      </w:r>
      <w:r w:rsidRPr="00AA4E8F">
        <w:rPr>
          <w:bCs/>
        </w:rPr>
        <w:t xml:space="preserve"> Legal Pluralism and Development: Scholars and Practitioners in Dialogue. Brian Z. Tamanaha, Caroline Sage, and Michael Woolcock</w:t>
      </w:r>
      <w:r w:rsidR="00A801CC">
        <w:rPr>
          <w:bCs/>
        </w:rPr>
        <w:t>, eds. p</w:t>
      </w:r>
      <w:r w:rsidRPr="00AA4E8F">
        <w:rPr>
          <w:bCs/>
        </w:rPr>
        <w:t>p. 66-83</w:t>
      </w:r>
    </w:p>
    <w:p w14:paraId="52643008" w14:textId="77777777" w:rsidR="00AA4E8F" w:rsidRDefault="00AA4E8F" w:rsidP="00275E1E">
      <w:pPr>
        <w:jc w:val="both"/>
        <w:rPr>
          <w:bCs/>
        </w:rPr>
      </w:pPr>
    </w:p>
    <w:p w14:paraId="68938E5A" w14:textId="77777777" w:rsidR="00AA4E8F" w:rsidRDefault="00AA4E8F" w:rsidP="00275E1E">
      <w:pPr>
        <w:jc w:val="both"/>
        <w:rPr>
          <w:bCs/>
        </w:rPr>
      </w:pPr>
      <w:r>
        <w:rPr>
          <w:bCs/>
        </w:rPr>
        <w:t xml:space="preserve">Suggested: </w:t>
      </w:r>
    </w:p>
    <w:p w14:paraId="7FC8FEAA" w14:textId="77777777" w:rsidR="00AA4E8F" w:rsidRDefault="00AA4E8F" w:rsidP="00275E1E">
      <w:pPr>
        <w:jc w:val="both"/>
        <w:rPr>
          <w:bCs/>
        </w:rPr>
      </w:pPr>
      <w:r>
        <w:rPr>
          <w:bCs/>
        </w:rPr>
        <w:t>HP Glenn, chap 5 &amp; 7</w:t>
      </w:r>
    </w:p>
    <w:p w14:paraId="5CDEB625" w14:textId="77777777" w:rsidR="0058492D" w:rsidRPr="00210B51" w:rsidRDefault="0058492D" w:rsidP="00275E1E">
      <w:pPr>
        <w:jc w:val="both"/>
        <w:rPr>
          <w:bCs/>
        </w:rPr>
      </w:pPr>
      <w:r w:rsidRPr="00210B51">
        <w:rPr>
          <w:rFonts w:ascii="Times New Roman" w:hAnsi="Times New Roman" w:cs="Times New Roman"/>
          <w:lang w:val="fr-FR"/>
        </w:rPr>
        <w:t xml:space="preserve">Cunning, C (2012). Faith-based Arbitration or Religious Divorce : What Was the Issue. In Korteweg and Selby (eds). </w:t>
      </w:r>
      <w:r w:rsidRPr="00210B51">
        <w:rPr>
          <w:rFonts w:ascii="Times New Roman" w:hAnsi="Times New Roman" w:cs="Times New Roman"/>
          <w:i/>
          <w:lang w:val="fr-FR"/>
        </w:rPr>
        <w:t>Debating Sharia : Islam, gender politics, and family law arbitration</w:t>
      </w:r>
      <w:r w:rsidRPr="00210B51">
        <w:rPr>
          <w:rFonts w:ascii="Times New Roman" w:hAnsi="Times New Roman" w:cs="Times New Roman"/>
          <w:lang w:val="fr-FR"/>
        </w:rPr>
        <w:t>.  UofT Press</w:t>
      </w:r>
    </w:p>
    <w:p w14:paraId="66FE82FB" w14:textId="77777777" w:rsidR="0018432D" w:rsidRDefault="0018432D" w:rsidP="00275E1E">
      <w:pPr>
        <w:jc w:val="both"/>
        <w:rPr>
          <w:b/>
          <w:bCs/>
        </w:rPr>
      </w:pPr>
    </w:p>
    <w:p w14:paraId="4CF3B358" w14:textId="78F7C07A" w:rsidR="00275E1E" w:rsidRPr="007102FA" w:rsidRDefault="00E36D2D" w:rsidP="00275E1E">
      <w:pPr>
        <w:jc w:val="both"/>
        <w:rPr>
          <w:b/>
          <w:bCs/>
        </w:rPr>
      </w:pPr>
      <w:r>
        <w:rPr>
          <w:b/>
          <w:bCs/>
        </w:rPr>
        <w:t>6. October 15</w:t>
      </w:r>
      <w:r w:rsidR="005A7D56">
        <w:rPr>
          <w:b/>
          <w:bCs/>
        </w:rPr>
        <w:t xml:space="preserve">: </w:t>
      </w:r>
      <w:r w:rsidR="006F3F03" w:rsidRPr="007102FA">
        <w:rPr>
          <w:b/>
          <w:bCs/>
        </w:rPr>
        <w:t xml:space="preserve"> </w:t>
      </w:r>
      <w:r w:rsidR="00275E1E" w:rsidRPr="007102FA">
        <w:rPr>
          <w:b/>
          <w:bCs/>
        </w:rPr>
        <w:t>Rule of Law</w:t>
      </w:r>
      <w:r w:rsidR="0013658F">
        <w:rPr>
          <w:bCs/>
        </w:rPr>
        <w:t xml:space="preserve"> </w:t>
      </w:r>
    </w:p>
    <w:p w14:paraId="3C3420D8" w14:textId="77777777" w:rsidR="00C23084" w:rsidRPr="001F7954" w:rsidRDefault="00C23084" w:rsidP="00C23084">
      <w:pPr>
        <w:rPr>
          <w:rFonts w:cs="Calibri"/>
          <w:szCs w:val="26"/>
        </w:rPr>
      </w:pPr>
      <w:r w:rsidRPr="001F7954">
        <w:rPr>
          <w:rFonts w:cs="Calibri"/>
          <w:szCs w:val="26"/>
        </w:rPr>
        <w:t>Tamanaha, B (2004). “Locke, Montesquieu, The Federalist Papers”, pp.47-59</w:t>
      </w:r>
    </w:p>
    <w:p w14:paraId="36DCCB32" w14:textId="77777777" w:rsidR="00C23084" w:rsidRPr="001F7954" w:rsidRDefault="00C23084" w:rsidP="00C23084">
      <w:pPr>
        <w:rPr>
          <w:rFonts w:cs="Calibri"/>
          <w:szCs w:val="26"/>
        </w:rPr>
      </w:pPr>
      <w:r w:rsidRPr="001F7954">
        <w:rPr>
          <w:rFonts w:cs="Calibri"/>
          <w:szCs w:val="26"/>
        </w:rPr>
        <w:t xml:space="preserve">Arbour, L. </w:t>
      </w:r>
      <w:r w:rsidR="00E319B5" w:rsidRPr="001F7954">
        <w:rPr>
          <w:rFonts w:cs="Calibri"/>
          <w:szCs w:val="26"/>
        </w:rPr>
        <w:t xml:space="preserve">(2012) </w:t>
      </w:r>
      <w:r w:rsidRPr="001F7954">
        <w:rPr>
          <w:rFonts w:cs="Calibri"/>
          <w:szCs w:val="26"/>
        </w:rPr>
        <w:t>The Rule of Law. Op-ed New York Times. 26 September 2012</w:t>
      </w:r>
    </w:p>
    <w:p w14:paraId="4F6C1701" w14:textId="77777777" w:rsidR="006F3F03" w:rsidRPr="00FF308D" w:rsidRDefault="00C23084" w:rsidP="00FF308D">
      <w:pPr>
        <w:rPr>
          <w:rFonts w:cs="Calibri"/>
          <w:szCs w:val="26"/>
        </w:rPr>
      </w:pPr>
      <w:r w:rsidRPr="001F7954">
        <w:rPr>
          <w:rFonts w:cs="Calibri"/>
          <w:szCs w:val="26"/>
        </w:rPr>
        <w:t>http://www.nytimes.com/2012/09/27/opinion/UN-general-assembly-on-the-rule-of-law.html?_r=0</w:t>
      </w:r>
    </w:p>
    <w:p w14:paraId="00BB530A" w14:textId="77777777" w:rsidR="006F3F03" w:rsidRDefault="006F3F03" w:rsidP="00275E1E">
      <w:pPr>
        <w:jc w:val="both"/>
      </w:pPr>
    </w:p>
    <w:p w14:paraId="2D6D59A9" w14:textId="77777777" w:rsidR="000F3079" w:rsidRDefault="000F3079" w:rsidP="00275E1E">
      <w:pPr>
        <w:jc w:val="both"/>
      </w:pPr>
      <w:r>
        <w:t xml:space="preserve">Suggested: </w:t>
      </w:r>
    </w:p>
    <w:p w14:paraId="5715769F" w14:textId="77777777" w:rsidR="000F3079" w:rsidRPr="001F7954" w:rsidRDefault="000F3079" w:rsidP="000F3079">
      <w:pPr>
        <w:rPr>
          <w:rFonts w:cs="Calibri"/>
          <w:szCs w:val="26"/>
        </w:rPr>
      </w:pPr>
      <w:r w:rsidRPr="001F7954">
        <w:rPr>
          <w:rFonts w:cs="Calibri"/>
          <w:szCs w:val="26"/>
        </w:rPr>
        <w:t>CANADA (ATTORNEY GENERAL) V. PHS COMMUNITY SERVICES SOCIETY, 2011 SCC 44 (</w:t>
      </w:r>
      <w:r>
        <w:rPr>
          <w:rFonts w:cs="Calibri"/>
          <w:szCs w:val="26"/>
        </w:rPr>
        <w:t xml:space="preserve">the </w:t>
      </w:r>
      <w:r w:rsidRPr="001F7954">
        <w:rPr>
          <w:rFonts w:cs="Calibri"/>
          <w:szCs w:val="26"/>
        </w:rPr>
        <w:t>“Insite decision”)</w:t>
      </w:r>
    </w:p>
    <w:p w14:paraId="6D748903" w14:textId="77777777" w:rsidR="000F3079" w:rsidRDefault="000F3079" w:rsidP="00275E1E">
      <w:pPr>
        <w:jc w:val="both"/>
      </w:pPr>
    </w:p>
    <w:p w14:paraId="5BD6DF05" w14:textId="77777777" w:rsidR="00275E1E" w:rsidRDefault="00275E1E" w:rsidP="00275E1E">
      <w:pPr>
        <w:jc w:val="both"/>
      </w:pPr>
    </w:p>
    <w:p w14:paraId="55385E45" w14:textId="53A00C58" w:rsidR="00E36D2D" w:rsidRPr="007102FA" w:rsidRDefault="005301EA" w:rsidP="00E36D2D">
      <w:pPr>
        <w:jc w:val="both"/>
        <w:rPr>
          <w:b/>
          <w:bCs/>
        </w:rPr>
      </w:pPr>
      <w:r>
        <w:rPr>
          <w:b/>
          <w:bCs/>
        </w:rPr>
        <w:t>7</w:t>
      </w:r>
      <w:r w:rsidR="00E36D2D">
        <w:rPr>
          <w:b/>
          <w:bCs/>
        </w:rPr>
        <w:t>. October 22</w:t>
      </w:r>
      <w:r w:rsidR="00E36D2D" w:rsidRPr="007102FA">
        <w:rPr>
          <w:b/>
          <w:bCs/>
        </w:rPr>
        <w:t>:  Theories of Law and Society</w:t>
      </w:r>
      <w:r w:rsidR="00210B51">
        <w:rPr>
          <w:b/>
          <w:bCs/>
        </w:rPr>
        <w:t xml:space="preserve"> </w:t>
      </w:r>
    </w:p>
    <w:p w14:paraId="6E855D6C" w14:textId="77777777" w:rsidR="00E36D2D" w:rsidRPr="001F7954" w:rsidRDefault="00E36D2D" w:rsidP="00E36D2D">
      <w:pPr>
        <w:rPr>
          <w:rFonts w:cs="Calibri"/>
          <w:szCs w:val="26"/>
        </w:rPr>
      </w:pPr>
      <w:r w:rsidRPr="001F7954">
        <w:rPr>
          <w:rFonts w:cs="Calibri"/>
          <w:szCs w:val="26"/>
        </w:rPr>
        <w:t>Calavita –Chapter 2</w:t>
      </w:r>
      <w:r w:rsidRPr="001F7954">
        <w:t>“Types of Society, Types of Law” pp 10-29</w:t>
      </w:r>
    </w:p>
    <w:p w14:paraId="0D5DE8B5" w14:textId="77777777" w:rsidR="00E36D2D" w:rsidRDefault="00E36D2D" w:rsidP="00E36D2D">
      <w:pPr>
        <w:rPr>
          <w:rFonts w:cs="Calibri"/>
          <w:szCs w:val="26"/>
        </w:rPr>
      </w:pPr>
      <w:r w:rsidRPr="001F7954">
        <w:rPr>
          <w:rFonts w:cs="Calibri"/>
          <w:szCs w:val="26"/>
        </w:rPr>
        <w:t xml:space="preserve">Delvin, R “Jurisprudence for Judges: Or, Why Legal Theory Matters for Social Context Education” (2001) 27 Queen’s L.J. 161-206 </w:t>
      </w:r>
    </w:p>
    <w:p w14:paraId="66B50D97" w14:textId="77777777" w:rsidR="00E36D2D" w:rsidRDefault="00E36D2D" w:rsidP="00E36D2D">
      <w:pPr>
        <w:rPr>
          <w:rFonts w:cs="Calibri"/>
          <w:szCs w:val="26"/>
        </w:rPr>
      </w:pPr>
    </w:p>
    <w:p w14:paraId="4AD74FA4" w14:textId="77777777" w:rsidR="00E36D2D" w:rsidRPr="001F7954" w:rsidRDefault="00E36D2D" w:rsidP="00E36D2D">
      <w:pPr>
        <w:rPr>
          <w:rFonts w:cs="Calibri"/>
          <w:szCs w:val="26"/>
        </w:rPr>
      </w:pPr>
      <w:r>
        <w:rPr>
          <w:rFonts w:cs="Calibri"/>
          <w:szCs w:val="26"/>
        </w:rPr>
        <w:t>Suggested:</w:t>
      </w:r>
    </w:p>
    <w:p w14:paraId="41173519" w14:textId="77777777" w:rsidR="00E36D2D" w:rsidRPr="001F7954" w:rsidRDefault="00E36D2D" w:rsidP="00E36D2D">
      <w:pPr>
        <w:rPr>
          <w:rFonts w:cs="Calibri"/>
          <w:szCs w:val="26"/>
        </w:rPr>
      </w:pPr>
      <w:r w:rsidRPr="00210B51">
        <w:rPr>
          <w:rFonts w:cs="Calibri"/>
          <w:szCs w:val="26"/>
        </w:rPr>
        <w:t>Delvin, R “Mapping Legal Theory” (1994) 32 Alta. L. Rev 602 -621</w:t>
      </w:r>
    </w:p>
    <w:p w14:paraId="2EAB29B6" w14:textId="77777777" w:rsidR="00E36D2D" w:rsidRDefault="00E36D2D" w:rsidP="00E36D2D">
      <w:pPr>
        <w:jc w:val="both"/>
        <w:rPr>
          <w:b/>
        </w:rPr>
      </w:pPr>
    </w:p>
    <w:p w14:paraId="37C32A3E" w14:textId="77777777" w:rsidR="00E36D2D" w:rsidRDefault="00E36D2D" w:rsidP="00275E1E">
      <w:pPr>
        <w:jc w:val="both"/>
      </w:pPr>
    </w:p>
    <w:p w14:paraId="5D36AD37" w14:textId="70C2BF63" w:rsidR="00275E1E" w:rsidRDefault="00FC0F30" w:rsidP="00275E1E">
      <w:pPr>
        <w:jc w:val="both"/>
        <w:rPr>
          <w:b/>
          <w:bCs/>
        </w:rPr>
      </w:pPr>
      <w:r>
        <w:rPr>
          <w:b/>
        </w:rPr>
        <w:t>8</w:t>
      </w:r>
      <w:r w:rsidR="00D576BF">
        <w:rPr>
          <w:b/>
        </w:rPr>
        <w:t xml:space="preserve">. </w:t>
      </w:r>
      <w:r w:rsidR="005A7D56">
        <w:rPr>
          <w:b/>
        </w:rPr>
        <w:t>October 29</w:t>
      </w:r>
      <w:r w:rsidR="006F3F03" w:rsidRPr="00275E1E">
        <w:rPr>
          <w:b/>
          <w:bCs/>
        </w:rPr>
        <w:t>:</w:t>
      </w:r>
      <w:r w:rsidR="006F3F03" w:rsidRPr="007102FA">
        <w:rPr>
          <w:b/>
          <w:bCs/>
        </w:rPr>
        <w:t xml:space="preserve"> </w:t>
      </w:r>
      <w:r w:rsidR="00275E1E">
        <w:rPr>
          <w:b/>
          <w:bCs/>
        </w:rPr>
        <w:t xml:space="preserve"> READING WEEK</w:t>
      </w:r>
    </w:p>
    <w:p w14:paraId="159FEE20" w14:textId="77777777" w:rsidR="004E314A" w:rsidRDefault="004E314A" w:rsidP="004E314A">
      <w:pPr>
        <w:jc w:val="both"/>
        <w:rPr>
          <w:b/>
        </w:rPr>
      </w:pPr>
    </w:p>
    <w:p w14:paraId="337EFE9E" w14:textId="16CD0441" w:rsidR="004E314A" w:rsidRPr="00D04395" w:rsidRDefault="00E36D2D" w:rsidP="004E314A">
      <w:pPr>
        <w:jc w:val="both"/>
        <w:rPr>
          <w:b/>
          <w:bCs/>
        </w:rPr>
      </w:pPr>
      <w:r>
        <w:rPr>
          <w:b/>
        </w:rPr>
        <w:t>9. November 5</w:t>
      </w:r>
      <w:r w:rsidR="004E314A" w:rsidRPr="00275E1E">
        <w:rPr>
          <w:b/>
        </w:rPr>
        <w:t xml:space="preserve">: </w:t>
      </w:r>
      <w:r w:rsidR="004E314A" w:rsidRPr="00275E1E">
        <w:rPr>
          <w:b/>
          <w:bCs/>
        </w:rPr>
        <w:t>Natural</w:t>
      </w:r>
      <w:r w:rsidR="004E314A" w:rsidRPr="007102FA">
        <w:rPr>
          <w:b/>
          <w:bCs/>
        </w:rPr>
        <w:t xml:space="preserve"> Law &amp; Legal Positivism</w:t>
      </w:r>
      <w:r w:rsidR="00210B51">
        <w:rPr>
          <w:b/>
          <w:bCs/>
        </w:rPr>
        <w:t xml:space="preserve"> </w:t>
      </w:r>
    </w:p>
    <w:p w14:paraId="29FAC7B2" w14:textId="77777777" w:rsidR="004E314A" w:rsidRPr="001F7954" w:rsidRDefault="004E314A" w:rsidP="004E314A">
      <w:pPr>
        <w:jc w:val="both"/>
      </w:pPr>
      <w:r w:rsidRPr="001F7954">
        <w:t>Calavita – Chapter 3, “Law in the Everyday, Everywhere” pp 30-50</w:t>
      </w:r>
    </w:p>
    <w:p w14:paraId="14CBB868" w14:textId="77777777" w:rsidR="004E314A" w:rsidRDefault="004E314A" w:rsidP="004E314A">
      <w:pPr>
        <w:rPr>
          <w:rFonts w:cs="Calibri"/>
          <w:szCs w:val="26"/>
        </w:rPr>
      </w:pPr>
      <w:r w:rsidRPr="001F7954">
        <w:rPr>
          <w:rFonts w:cs="Calibri"/>
          <w:szCs w:val="26"/>
        </w:rPr>
        <w:t>Murphy J. and Coleman, J (1993). “Natural Law Theory” and “Legal Positivism” In Readings in Law and Society, ed. Jane Banfield. Captus Press. pp. 4-17</w:t>
      </w:r>
    </w:p>
    <w:p w14:paraId="624B2731" w14:textId="77777777" w:rsidR="004E314A" w:rsidRDefault="004E314A" w:rsidP="004E314A">
      <w:pPr>
        <w:rPr>
          <w:rFonts w:cs="Calibri"/>
          <w:szCs w:val="26"/>
        </w:rPr>
      </w:pPr>
    </w:p>
    <w:p w14:paraId="782B6B66" w14:textId="77777777" w:rsidR="004E314A" w:rsidRDefault="004E314A" w:rsidP="004E314A">
      <w:pPr>
        <w:rPr>
          <w:rFonts w:cs="Calibri"/>
          <w:szCs w:val="26"/>
        </w:rPr>
      </w:pPr>
      <w:r>
        <w:rPr>
          <w:rFonts w:cs="Calibri"/>
          <w:szCs w:val="26"/>
        </w:rPr>
        <w:t xml:space="preserve">Suggested: </w:t>
      </w:r>
    </w:p>
    <w:p w14:paraId="34C417C6" w14:textId="77777777" w:rsidR="004E314A" w:rsidRDefault="004E314A" w:rsidP="004E314A">
      <w:pPr>
        <w:rPr>
          <w:rFonts w:cs="Calibri"/>
          <w:szCs w:val="26"/>
        </w:rPr>
      </w:pPr>
      <w:r w:rsidRPr="00210B51">
        <w:rPr>
          <w:rFonts w:cs="Calibri"/>
          <w:szCs w:val="26"/>
        </w:rPr>
        <w:t xml:space="preserve">Fuller, L (1949).  The case of Speluncean Explorers. </w:t>
      </w:r>
      <w:hyperlink r:id="rId12" w:history="1">
        <w:r w:rsidRPr="00210B51">
          <w:t>http://www.nullapoena.de/stud/explorers.html</w:t>
        </w:r>
      </w:hyperlink>
    </w:p>
    <w:p w14:paraId="61D0DA2C" w14:textId="77777777" w:rsidR="004E314A" w:rsidRDefault="004E314A" w:rsidP="004E314A">
      <w:pPr>
        <w:rPr>
          <w:rFonts w:cs="Calibri"/>
          <w:szCs w:val="26"/>
        </w:rPr>
      </w:pPr>
    </w:p>
    <w:p w14:paraId="7C8D122B" w14:textId="77777777" w:rsidR="006F3F03" w:rsidRDefault="006F3F03" w:rsidP="00C529B1">
      <w:pPr>
        <w:jc w:val="both"/>
      </w:pPr>
    </w:p>
    <w:p w14:paraId="4AFEF59B" w14:textId="5228E457" w:rsidR="006F3F03" w:rsidRDefault="00E36D2D" w:rsidP="00C529B1">
      <w:pPr>
        <w:jc w:val="both"/>
        <w:rPr>
          <w:b/>
          <w:bCs/>
        </w:rPr>
      </w:pPr>
      <w:r>
        <w:rPr>
          <w:b/>
          <w:bCs/>
        </w:rPr>
        <w:t>10</w:t>
      </w:r>
      <w:r w:rsidR="00D576BF">
        <w:rPr>
          <w:b/>
          <w:bCs/>
        </w:rPr>
        <w:t xml:space="preserve">. </w:t>
      </w:r>
      <w:r>
        <w:rPr>
          <w:b/>
          <w:bCs/>
        </w:rPr>
        <w:t>November 12</w:t>
      </w:r>
      <w:r w:rsidR="006F3F03" w:rsidRPr="007102FA">
        <w:rPr>
          <w:b/>
          <w:bCs/>
        </w:rPr>
        <w:t>: Legal Liberalism and John Stuart Mill</w:t>
      </w:r>
      <w:r w:rsidR="0046035E">
        <w:rPr>
          <w:b/>
          <w:bCs/>
        </w:rPr>
        <w:t xml:space="preserve"> [case analysis due]</w:t>
      </w:r>
      <w:r w:rsidR="00210B51">
        <w:rPr>
          <w:b/>
          <w:bCs/>
        </w:rPr>
        <w:t xml:space="preserve"> </w:t>
      </w:r>
    </w:p>
    <w:p w14:paraId="32210A0F" w14:textId="77777777" w:rsidR="006F3F03" w:rsidRDefault="00D04395" w:rsidP="00367FF2">
      <w:pPr>
        <w:rPr>
          <w:rFonts w:cs="Calibri"/>
          <w:szCs w:val="26"/>
        </w:rPr>
      </w:pPr>
      <w:r w:rsidRPr="001F7954">
        <w:rPr>
          <w:rFonts w:cs="Calibri"/>
          <w:szCs w:val="26"/>
        </w:rPr>
        <w:t>Mill, J. “On Liberty” In Readings in Law and Society, ed. Jane Banfield. Captus Press. pp151-156</w:t>
      </w:r>
    </w:p>
    <w:p w14:paraId="388BB79E" w14:textId="77777777" w:rsidR="00BC2F5A" w:rsidRPr="00BC2F5A" w:rsidRDefault="00BC2F5A" w:rsidP="00BC2F5A">
      <w:pPr>
        <w:rPr>
          <w:rFonts w:cs="Calibri"/>
          <w:szCs w:val="26"/>
        </w:rPr>
      </w:pPr>
      <w:r w:rsidRPr="00BC2F5A">
        <w:rPr>
          <w:rFonts w:cs="Calibri"/>
          <w:szCs w:val="26"/>
        </w:rPr>
        <w:t xml:space="preserve">Laura Beth Nielsen, “Situating Legal Consciousness: Experiences and Attitudes of Ordinary Citizens about Law and Street Harassment,” 34 Law &amp; Society Review 1055 – 1089 (2000) </w:t>
      </w:r>
    </w:p>
    <w:p w14:paraId="630FFDE4" w14:textId="77777777" w:rsidR="00BC2F5A" w:rsidRDefault="00BC2F5A" w:rsidP="00367FF2">
      <w:pPr>
        <w:rPr>
          <w:rFonts w:cs="Calibri"/>
          <w:szCs w:val="26"/>
        </w:rPr>
      </w:pPr>
    </w:p>
    <w:p w14:paraId="778BF754" w14:textId="77777777" w:rsidR="00BC2F5A" w:rsidRDefault="00BC2F5A" w:rsidP="00367FF2">
      <w:pPr>
        <w:rPr>
          <w:rFonts w:cs="Calibri"/>
          <w:szCs w:val="26"/>
        </w:rPr>
      </w:pPr>
      <w:r>
        <w:rPr>
          <w:rFonts w:cs="Calibri"/>
          <w:szCs w:val="26"/>
        </w:rPr>
        <w:t xml:space="preserve">Suggested: </w:t>
      </w:r>
    </w:p>
    <w:p w14:paraId="4F9C5A1C" w14:textId="77777777" w:rsidR="00367FF2" w:rsidRPr="00210B51" w:rsidRDefault="00367FF2" w:rsidP="00210B51">
      <w:pPr>
        <w:rPr>
          <w:rFonts w:cs="Calibri"/>
          <w:szCs w:val="26"/>
        </w:rPr>
      </w:pPr>
      <w:r w:rsidRPr="00210B51">
        <w:rPr>
          <w:rFonts w:cs="Calibri"/>
          <w:szCs w:val="26"/>
        </w:rPr>
        <w:t>Listen to Boiled Angel (on freedom of expression): http://www.lifeofthelaw.org/2015/01/boiled-angel/</w:t>
      </w:r>
    </w:p>
    <w:p w14:paraId="3C39C31B" w14:textId="77777777" w:rsidR="004E314A" w:rsidRDefault="004E314A" w:rsidP="00275E1E">
      <w:pPr>
        <w:jc w:val="both"/>
        <w:rPr>
          <w:b/>
          <w:bCs/>
        </w:rPr>
      </w:pPr>
    </w:p>
    <w:p w14:paraId="0EFEC1F9" w14:textId="1032D43E" w:rsidR="00275E1E" w:rsidRPr="007102FA" w:rsidRDefault="00E36D2D" w:rsidP="00275E1E">
      <w:pPr>
        <w:jc w:val="both"/>
        <w:rPr>
          <w:b/>
          <w:bCs/>
        </w:rPr>
      </w:pPr>
      <w:r>
        <w:rPr>
          <w:b/>
          <w:bCs/>
        </w:rPr>
        <w:t>11</w:t>
      </w:r>
      <w:r w:rsidR="00D576BF">
        <w:rPr>
          <w:b/>
          <w:bCs/>
        </w:rPr>
        <w:t xml:space="preserve">. </w:t>
      </w:r>
      <w:r w:rsidR="006F3F03" w:rsidRPr="007102FA">
        <w:rPr>
          <w:b/>
          <w:bCs/>
        </w:rPr>
        <w:t>November</w:t>
      </w:r>
      <w:r>
        <w:rPr>
          <w:b/>
          <w:bCs/>
        </w:rPr>
        <w:t xml:space="preserve"> 19</w:t>
      </w:r>
      <w:r w:rsidR="006F3F03" w:rsidRPr="007102FA">
        <w:rPr>
          <w:b/>
          <w:bCs/>
        </w:rPr>
        <w:t>:</w:t>
      </w:r>
      <w:r w:rsidR="006F3F03" w:rsidRPr="00210B51">
        <w:rPr>
          <w:b/>
          <w:bCs/>
        </w:rPr>
        <w:t xml:space="preserve"> </w:t>
      </w:r>
      <w:r w:rsidR="00275E1E" w:rsidRPr="00210B51">
        <w:rPr>
          <w:b/>
          <w:bCs/>
        </w:rPr>
        <w:t>Durkheim</w:t>
      </w:r>
      <w:r w:rsidR="00275E1E" w:rsidRPr="00210B51">
        <w:rPr>
          <w:bCs/>
        </w:rPr>
        <w:t xml:space="preserve"> </w:t>
      </w:r>
      <w:r w:rsidR="0046035E" w:rsidRPr="00210B51">
        <w:rPr>
          <w:bCs/>
        </w:rPr>
        <w:t xml:space="preserve"> </w:t>
      </w:r>
    </w:p>
    <w:p w14:paraId="5E6414CB" w14:textId="77777777" w:rsidR="004D517B" w:rsidRPr="00210B51" w:rsidRDefault="00BD331F" w:rsidP="004D517B">
      <w:pPr>
        <w:rPr>
          <w:rFonts w:cs="Calibri"/>
          <w:szCs w:val="26"/>
        </w:rPr>
      </w:pPr>
      <w:r w:rsidRPr="0013658F">
        <w:rPr>
          <w:rFonts w:cs="Calibri"/>
          <w:szCs w:val="26"/>
        </w:rPr>
        <w:t xml:space="preserve">Durkheim, E ((1933) 2005). </w:t>
      </w:r>
      <w:r w:rsidR="004D517B" w:rsidRPr="0013658F">
        <w:rPr>
          <w:rFonts w:cs="Calibri"/>
          <w:szCs w:val="26"/>
        </w:rPr>
        <w:t xml:space="preserve"> </w:t>
      </w:r>
      <w:r w:rsidRPr="0013658F">
        <w:rPr>
          <w:rFonts w:cs="Calibri"/>
          <w:szCs w:val="26"/>
        </w:rPr>
        <w:t>“On Law” in Law and Anthropology. Ed Moore</w:t>
      </w:r>
    </w:p>
    <w:p w14:paraId="407E9772" w14:textId="77777777" w:rsidR="004D517B" w:rsidRPr="001F7954" w:rsidRDefault="004D517B" w:rsidP="004D517B">
      <w:pPr>
        <w:rPr>
          <w:rFonts w:cs="Calibri"/>
          <w:sz w:val="26"/>
          <w:szCs w:val="26"/>
        </w:rPr>
      </w:pPr>
      <w:r w:rsidRPr="001F7954">
        <w:rPr>
          <w:rFonts w:cs="Calibri"/>
          <w:sz w:val="26"/>
          <w:szCs w:val="26"/>
        </w:rPr>
        <w:t>Trevino, J (2001). “Durkheimian perspective”.</w:t>
      </w:r>
      <w:r w:rsidR="001F7954">
        <w:rPr>
          <w:rFonts w:cs="Calibri"/>
          <w:sz w:val="26"/>
          <w:szCs w:val="26"/>
        </w:rPr>
        <w:t xml:space="preserve"> </w:t>
      </w:r>
      <w:r w:rsidRPr="001F7954">
        <w:rPr>
          <w:rFonts w:cs="Calibri"/>
          <w:sz w:val="26"/>
          <w:szCs w:val="26"/>
        </w:rPr>
        <w:t>The sociology of law. Transaction publishers</w:t>
      </w:r>
    </w:p>
    <w:p w14:paraId="5384D93D" w14:textId="77777777" w:rsidR="006F3F03" w:rsidRDefault="0013658F" w:rsidP="00C529B1">
      <w:pPr>
        <w:jc w:val="both"/>
        <w:rPr>
          <w:rStyle w:val="Hyperlink"/>
        </w:rPr>
      </w:pPr>
      <w:hyperlink r:id="rId13" w:history="1">
        <w:r w:rsidR="004D517B" w:rsidRPr="001F7954">
          <w:rPr>
            <w:rStyle w:val="Hyperlink"/>
            <w:rFonts w:cs="Calibri"/>
            <w:sz w:val="26"/>
            <w:szCs w:val="26"/>
          </w:rPr>
          <w:t>http://www.clas.ufl.edu/users/llkkll/law&amp;soc/trevino.durkheim.pdf</w:t>
        </w:r>
      </w:hyperlink>
    </w:p>
    <w:p w14:paraId="2A8ED76C" w14:textId="77777777" w:rsidR="0046035E" w:rsidRDefault="0046035E" w:rsidP="00C529B1">
      <w:pPr>
        <w:jc w:val="both"/>
      </w:pPr>
    </w:p>
    <w:p w14:paraId="44EB110B" w14:textId="77777777" w:rsidR="004E314A" w:rsidRDefault="004E314A" w:rsidP="00C529B1">
      <w:pPr>
        <w:jc w:val="both"/>
      </w:pPr>
    </w:p>
    <w:p w14:paraId="08F99F6D" w14:textId="090510D7" w:rsidR="00C32E2A" w:rsidRDefault="00E36D2D" w:rsidP="00C32E2A">
      <w:pPr>
        <w:jc w:val="both"/>
        <w:rPr>
          <w:b/>
          <w:bCs/>
        </w:rPr>
      </w:pPr>
      <w:r>
        <w:rPr>
          <w:b/>
          <w:bCs/>
        </w:rPr>
        <w:t>12</w:t>
      </w:r>
      <w:r w:rsidR="00D576BF">
        <w:rPr>
          <w:b/>
          <w:bCs/>
        </w:rPr>
        <w:t>.</w:t>
      </w:r>
      <w:r>
        <w:rPr>
          <w:b/>
          <w:bCs/>
        </w:rPr>
        <w:t>November 26</w:t>
      </w:r>
      <w:r w:rsidR="006F3F03" w:rsidRPr="007102FA">
        <w:rPr>
          <w:b/>
          <w:bCs/>
        </w:rPr>
        <w:t xml:space="preserve">:  </w:t>
      </w:r>
      <w:r w:rsidR="00C32E2A">
        <w:rPr>
          <w:b/>
          <w:bCs/>
        </w:rPr>
        <w:t>Weber</w:t>
      </w:r>
      <w:r w:rsidR="00210B51">
        <w:rPr>
          <w:b/>
          <w:bCs/>
        </w:rPr>
        <w:t xml:space="preserve"> </w:t>
      </w:r>
    </w:p>
    <w:p w14:paraId="6B65D690" w14:textId="77777777" w:rsidR="00017123" w:rsidRPr="00017123" w:rsidRDefault="00017123" w:rsidP="00017123">
      <w:pPr>
        <w:jc w:val="both"/>
      </w:pPr>
      <w:r w:rsidRPr="004E314A">
        <w:t>Pavlich, G (2011) “Max Weber, Modern Disenchantment and the Rationalization of law”. In Law and Society Redefined. Oxford University Press</w:t>
      </w:r>
    </w:p>
    <w:p w14:paraId="3CE53478" w14:textId="77777777" w:rsidR="00587CC0" w:rsidRDefault="00017123" w:rsidP="00C32E2A">
      <w:pPr>
        <w:jc w:val="both"/>
      </w:pPr>
      <w:r w:rsidRPr="00017123">
        <w:t>Kronman, A (1993) “Authority” Readings in Law and Society. Ed Jane Banfield. Captus press. pp. 29-38.</w:t>
      </w:r>
    </w:p>
    <w:p w14:paraId="4522DF03" w14:textId="77777777" w:rsidR="0046035E" w:rsidRDefault="0046035E" w:rsidP="00C32E2A">
      <w:pPr>
        <w:jc w:val="both"/>
      </w:pPr>
    </w:p>
    <w:p w14:paraId="65D25060" w14:textId="77777777" w:rsidR="00587CC0" w:rsidRDefault="00587CC0" w:rsidP="00C32E2A">
      <w:pPr>
        <w:jc w:val="both"/>
      </w:pPr>
    </w:p>
    <w:p w14:paraId="0D5ED7E0" w14:textId="2263B211" w:rsidR="00E36D2D" w:rsidRPr="007102FA" w:rsidRDefault="00E36D2D" w:rsidP="00E36D2D">
      <w:pPr>
        <w:jc w:val="both"/>
        <w:rPr>
          <w:b/>
          <w:bCs/>
        </w:rPr>
      </w:pPr>
      <w:r>
        <w:rPr>
          <w:b/>
          <w:bCs/>
        </w:rPr>
        <w:t>13. December 3</w:t>
      </w:r>
      <w:r w:rsidRPr="007102FA">
        <w:rPr>
          <w:b/>
          <w:bCs/>
        </w:rPr>
        <w:t>: Marx</w:t>
      </w:r>
      <w:r>
        <w:rPr>
          <w:b/>
          <w:bCs/>
        </w:rPr>
        <w:t xml:space="preserve"> </w:t>
      </w:r>
    </w:p>
    <w:p w14:paraId="0A8C6EC4" w14:textId="247F8C29" w:rsidR="00E36D2D" w:rsidRDefault="00A801CC" w:rsidP="00E36D2D">
      <w:pPr>
        <w:jc w:val="both"/>
      </w:pPr>
      <w:r>
        <w:t>Marx –  [1848</w:t>
      </w:r>
      <w:r w:rsidR="00E36D2D">
        <w:t>] “Manifesto” pp167-179</w:t>
      </w:r>
    </w:p>
    <w:p w14:paraId="48820622" w14:textId="77777777" w:rsidR="00E36D2D" w:rsidRDefault="00E36D2D" w:rsidP="00E36D2D">
      <w:pPr>
        <w:jc w:val="both"/>
      </w:pPr>
      <w:r w:rsidRPr="004E314A">
        <w:t>Chambliss – Moodle “The Law of Vagrancy” pp 67-77</w:t>
      </w:r>
    </w:p>
    <w:p w14:paraId="636BB13F" w14:textId="77777777" w:rsidR="00E36D2D" w:rsidRDefault="00E36D2D" w:rsidP="00E36D2D">
      <w:pPr>
        <w:jc w:val="both"/>
      </w:pPr>
      <w:r>
        <w:t>Calavita – Chapter 6, “The Talk versus the Walk of Law” pp 94-115</w:t>
      </w:r>
    </w:p>
    <w:p w14:paraId="2D384995" w14:textId="77777777" w:rsidR="00E36D2D" w:rsidRDefault="00E36D2D" w:rsidP="00E36D2D">
      <w:pPr>
        <w:jc w:val="both"/>
      </w:pPr>
    </w:p>
    <w:p w14:paraId="50626E5B" w14:textId="77777777" w:rsidR="00440BDB" w:rsidRDefault="00440BDB" w:rsidP="00C529B1">
      <w:pPr>
        <w:jc w:val="both"/>
        <w:rPr>
          <w:b/>
          <w:bCs/>
        </w:rPr>
      </w:pPr>
    </w:p>
    <w:p w14:paraId="6B308015" w14:textId="77777777" w:rsidR="00C32E2A" w:rsidRDefault="00440BDB" w:rsidP="00C529B1">
      <w:pPr>
        <w:jc w:val="both"/>
        <w:rPr>
          <w:b/>
          <w:bCs/>
        </w:rPr>
      </w:pPr>
      <w:r>
        <w:rPr>
          <w:b/>
          <w:bCs/>
        </w:rPr>
        <w:t>MIDTERM IN EXAM PERIOD</w:t>
      </w:r>
    </w:p>
    <w:p w14:paraId="665FD3C3" w14:textId="77777777" w:rsidR="00FC0F30" w:rsidRDefault="00FC0F30" w:rsidP="00440BDB">
      <w:pPr>
        <w:jc w:val="both"/>
        <w:rPr>
          <w:b/>
          <w:bCs/>
        </w:rPr>
      </w:pPr>
    </w:p>
    <w:p w14:paraId="054BD721" w14:textId="77777777" w:rsidR="00FC0F30" w:rsidRDefault="00FC0F30" w:rsidP="00440BDB">
      <w:pPr>
        <w:jc w:val="both"/>
        <w:rPr>
          <w:b/>
          <w:bCs/>
        </w:rPr>
      </w:pPr>
    </w:p>
    <w:p w14:paraId="00174238" w14:textId="65B30539" w:rsidR="00E36D2D" w:rsidRDefault="00E36D2D" w:rsidP="00440BDB">
      <w:pPr>
        <w:jc w:val="both"/>
        <w:rPr>
          <w:b/>
          <w:bCs/>
        </w:rPr>
      </w:pPr>
      <w:r>
        <w:rPr>
          <w:b/>
          <w:bCs/>
        </w:rPr>
        <w:t>14. January 7</w:t>
      </w:r>
      <w:r w:rsidRPr="00E36D2D">
        <w:rPr>
          <w:b/>
          <w:bCs/>
          <w:vertAlign w:val="superscript"/>
        </w:rPr>
        <w:t>th</w:t>
      </w:r>
      <w:r>
        <w:rPr>
          <w:b/>
          <w:bCs/>
        </w:rPr>
        <w:t xml:space="preserve"> – How to research and write an essay?</w:t>
      </w:r>
      <w:r w:rsidR="00210B51">
        <w:rPr>
          <w:b/>
          <w:bCs/>
        </w:rPr>
        <w:t xml:space="preserve"> </w:t>
      </w:r>
    </w:p>
    <w:p w14:paraId="7D1814F9" w14:textId="01BDA282" w:rsidR="00E36D2D" w:rsidRDefault="00E36D2D" w:rsidP="00440BDB">
      <w:pPr>
        <w:jc w:val="both"/>
        <w:rPr>
          <w:bCs/>
        </w:rPr>
      </w:pPr>
      <w:r>
        <w:rPr>
          <w:bCs/>
        </w:rPr>
        <w:t xml:space="preserve">Librarian visit &amp; discussion on referencing </w:t>
      </w:r>
    </w:p>
    <w:p w14:paraId="630FF957" w14:textId="58A60A95" w:rsidR="00A801CC" w:rsidRPr="00E36D2D" w:rsidRDefault="00A801CC" w:rsidP="00A801CC">
      <w:pPr>
        <w:rPr>
          <w:bCs/>
        </w:rPr>
      </w:pPr>
      <w:r>
        <w:rPr>
          <w:bCs/>
        </w:rPr>
        <w:t xml:space="preserve">Required reading: </w:t>
      </w:r>
      <w:r w:rsidRPr="00A801CC">
        <w:rPr>
          <w:bCs/>
        </w:rPr>
        <w:t>http://researchguides.library.yorku.ca/content.php?pid=240146&amp;sid=1981857</w:t>
      </w:r>
    </w:p>
    <w:p w14:paraId="76EC427C" w14:textId="77777777" w:rsidR="00E36D2D" w:rsidRDefault="00E36D2D" w:rsidP="00440BDB">
      <w:pPr>
        <w:jc w:val="both"/>
        <w:rPr>
          <w:b/>
          <w:bCs/>
        </w:rPr>
      </w:pPr>
    </w:p>
    <w:p w14:paraId="07F20D86" w14:textId="1FDC4DC0" w:rsidR="00440BDB" w:rsidRPr="007102FA" w:rsidRDefault="00E36D2D" w:rsidP="00440BDB">
      <w:pPr>
        <w:jc w:val="both"/>
        <w:rPr>
          <w:b/>
          <w:bCs/>
        </w:rPr>
      </w:pPr>
      <w:r>
        <w:rPr>
          <w:b/>
          <w:bCs/>
        </w:rPr>
        <w:t>15.  January 14</w:t>
      </w:r>
      <w:r w:rsidR="00FC0F30">
        <w:rPr>
          <w:b/>
          <w:bCs/>
        </w:rPr>
        <w:t xml:space="preserve">: </w:t>
      </w:r>
      <w:r w:rsidR="000A5718">
        <w:rPr>
          <w:b/>
          <w:bCs/>
        </w:rPr>
        <w:t xml:space="preserve">Law , </w:t>
      </w:r>
      <w:r w:rsidR="00440BDB" w:rsidRPr="007102FA">
        <w:rPr>
          <w:b/>
          <w:bCs/>
        </w:rPr>
        <w:t>Social Change</w:t>
      </w:r>
      <w:r w:rsidR="000A5718">
        <w:rPr>
          <w:b/>
          <w:bCs/>
        </w:rPr>
        <w:t xml:space="preserve"> and </w:t>
      </w:r>
      <w:r w:rsidR="000A5718" w:rsidRPr="00210B51">
        <w:rPr>
          <w:b/>
          <w:bCs/>
        </w:rPr>
        <w:t xml:space="preserve">Legal </w:t>
      </w:r>
      <w:r w:rsidR="00DE5C14" w:rsidRPr="00210B51">
        <w:rPr>
          <w:b/>
          <w:bCs/>
        </w:rPr>
        <w:t>Consciousness</w:t>
      </w:r>
      <w:r w:rsidR="00210B51">
        <w:rPr>
          <w:b/>
          <w:bCs/>
        </w:rPr>
        <w:t xml:space="preserve"> </w:t>
      </w:r>
    </w:p>
    <w:p w14:paraId="6BFD8B32" w14:textId="77777777" w:rsidR="00440BDB" w:rsidRDefault="00AD24D6" w:rsidP="00440BDB">
      <w:pPr>
        <w:jc w:val="both"/>
      </w:pPr>
      <w:r>
        <w:t>Vago – pp 211-238</w:t>
      </w:r>
      <w:r w:rsidR="00440BDB">
        <w:t>(Law and Social Change)</w:t>
      </w:r>
    </w:p>
    <w:p w14:paraId="25ECEAA2" w14:textId="46DC33AE" w:rsidR="00BC2F5A" w:rsidRDefault="00440BDB" w:rsidP="00D3203D">
      <w:pPr>
        <w:jc w:val="both"/>
      </w:pPr>
      <w:r>
        <w:t>Calavita – Chapter 7, “Law and Social Justice ...” pp 116-147</w:t>
      </w:r>
    </w:p>
    <w:p w14:paraId="0196CEF3" w14:textId="77777777" w:rsidR="00A801CC" w:rsidRPr="00210B51" w:rsidRDefault="00A801CC" w:rsidP="00A801CC">
      <w:pPr>
        <w:jc w:val="both"/>
      </w:pPr>
      <w:r w:rsidRPr="00210B51">
        <w:t>Anna Kirkland (2008) “Think of the Hippopotamus: Rights Consciousness in the Fat Acceptance Movement” 42 Law &amp; Soci</w:t>
      </w:r>
      <w:r>
        <w:t xml:space="preserve">ety Review 397 – 431 (2008) </w:t>
      </w:r>
    </w:p>
    <w:p w14:paraId="2BB2B357" w14:textId="77777777" w:rsidR="00A801CC" w:rsidRDefault="00A801CC" w:rsidP="00D3203D">
      <w:pPr>
        <w:jc w:val="both"/>
      </w:pPr>
    </w:p>
    <w:p w14:paraId="0E84FC83" w14:textId="5D420F7E" w:rsidR="00A801CC" w:rsidRPr="00A801CC" w:rsidRDefault="00A801CC" w:rsidP="00D3203D">
      <w:pPr>
        <w:jc w:val="both"/>
        <w:rPr>
          <w:b/>
        </w:rPr>
      </w:pPr>
      <w:r w:rsidRPr="00210B51">
        <w:rPr>
          <w:b/>
        </w:rPr>
        <w:t xml:space="preserve">Suggested: </w:t>
      </w:r>
    </w:p>
    <w:p w14:paraId="0CF1FCA1" w14:textId="77777777" w:rsidR="00D3203D" w:rsidRPr="00210B51" w:rsidRDefault="00B01120" w:rsidP="00D3203D">
      <w:pPr>
        <w:jc w:val="both"/>
      </w:pPr>
      <w:r w:rsidRPr="00210B51">
        <w:t>Sarat, A (1990). “</w:t>
      </w:r>
      <w:r w:rsidR="00D3203D" w:rsidRPr="00210B51">
        <w:t>The Law Is All Over”: Power, Resistance and the Legal Consciousness of the Welfare Poor. 2 YaleJLHuman343. [legal consciousness]</w:t>
      </w:r>
    </w:p>
    <w:p w14:paraId="05614A66" w14:textId="77777777" w:rsidR="00BC2F5A" w:rsidRPr="00210B51" w:rsidRDefault="00BC2F5A" w:rsidP="00D3203D">
      <w:pPr>
        <w:jc w:val="both"/>
      </w:pPr>
    </w:p>
    <w:p w14:paraId="006FED12" w14:textId="77777777" w:rsidR="006F3F03" w:rsidRDefault="006F3F03" w:rsidP="00C529B1">
      <w:pPr>
        <w:jc w:val="both"/>
      </w:pPr>
    </w:p>
    <w:p w14:paraId="60E67FFD" w14:textId="619F83C2" w:rsidR="00B01120" w:rsidRDefault="00FC0F30" w:rsidP="00B01120">
      <w:pPr>
        <w:jc w:val="both"/>
        <w:rPr>
          <w:b/>
          <w:bCs/>
        </w:rPr>
      </w:pPr>
      <w:r>
        <w:rPr>
          <w:b/>
          <w:bCs/>
        </w:rPr>
        <w:t>16</w:t>
      </w:r>
      <w:r w:rsidR="00D576BF">
        <w:rPr>
          <w:b/>
          <w:bCs/>
        </w:rPr>
        <w:t xml:space="preserve">. </w:t>
      </w:r>
      <w:r>
        <w:rPr>
          <w:b/>
          <w:bCs/>
        </w:rPr>
        <w:t xml:space="preserve"> January 21: Law,</w:t>
      </w:r>
      <w:r w:rsidR="00B01120">
        <w:rPr>
          <w:b/>
          <w:bCs/>
        </w:rPr>
        <w:t xml:space="preserve"> Nationalism and Colonialism </w:t>
      </w:r>
      <w:r>
        <w:rPr>
          <w:b/>
          <w:bCs/>
        </w:rPr>
        <w:t>[Essay Outlines DUE]</w:t>
      </w:r>
      <w:r w:rsidR="00210B51">
        <w:rPr>
          <w:b/>
          <w:bCs/>
        </w:rPr>
        <w:t xml:space="preserve"> </w:t>
      </w:r>
    </w:p>
    <w:p w14:paraId="05C8EC73" w14:textId="77777777" w:rsidR="00B01120" w:rsidRDefault="00B01120" w:rsidP="00B01120">
      <w:pPr>
        <w:rPr>
          <w:rFonts w:cs="Calibri"/>
          <w:szCs w:val="26"/>
        </w:rPr>
      </w:pPr>
      <w:r w:rsidRPr="00116010">
        <w:rPr>
          <w:rFonts w:cs="Calibri"/>
          <w:szCs w:val="26"/>
        </w:rPr>
        <w:t xml:space="preserve">Anderson, B. ([1991] 1994). </w:t>
      </w:r>
      <w:r>
        <w:rPr>
          <w:rFonts w:cs="Calibri"/>
          <w:szCs w:val="26"/>
        </w:rPr>
        <w:t>“</w:t>
      </w:r>
      <w:r w:rsidRPr="00116010">
        <w:rPr>
          <w:rFonts w:cs="Calibri"/>
          <w:szCs w:val="26"/>
        </w:rPr>
        <w:t>Imagined Communites</w:t>
      </w:r>
      <w:r>
        <w:rPr>
          <w:rFonts w:cs="Calibri"/>
          <w:szCs w:val="26"/>
        </w:rPr>
        <w:t>”</w:t>
      </w:r>
      <w:r w:rsidRPr="00116010">
        <w:rPr>
          <w:rFonts w:cs="Calibri"/>
          <w:szCs w:val="26"/>
        </w:rPr>
        <w:t>. In Nationalism, Hutchinson, J. and Smith A. (Eds.). Oxford: Oxford University Press.</w:t>
      </w:r>
    </w:p>
    <w:p w14:paraId="0823A710" w14:textId="77777777" w:rsidR="00B01120" w:rsidRPr="00210B51" w:rsidRDefault="00B01120" w:rsidP="00B01120">
      <w:pPr>
        <w:rPr>
          <w:rFonts w:cs="Calibri"/>
          <w:szCs w:val="26"/>
        </w:rPr>
      </w:pPr>
      <w:r w:rsidRPr="00210B51">
        <w:rPr>
          <w:rFonts w:cs="Calibri"/>
          <w:szCs w:val="26"/>
        </w:rPr>
        <w:t xml:space="preserve">Napoleon, V (2001). Extension by number: Colonialism Made Easy. 16 Can J.L. &amp; Soc. </w:t>
      </w:r>
    </w:p>
    <w:p w14:paraId="6512EEA7" w14:textId="225A5C81" w:rsidR="009D3938" w:rsidRDefault="009D3938" w:rsidP="00B01120">
      <w:pPr>
        <w:rPr>
          <w:rFonts w:cs="Calibri"/>
          <w:szCs w:val="26"/>
        </w:rPr>
      </w:pPr>
      <w:r w:rsidRPr="00A76ED1">
        <w:rPr>
          <w:rFonts w:cs="Calibri"/>
          <w:szCs w:val="26"/>
        </w:rPr>
        <w:t>Lawrence, B (2002). Rewriting Histories of the Land: Colonization and Indigenous Resistance in Eastern Canada. In Race, Space and the Law. Ed. Sherene Razack</w:t>
      </w:r>
    </w:p>
    <w:p w14:paraId="24C8750C" w14:textId="77777777" w:rsidR="00BC2F5A" w:rsidRDefault="00BC2F5A" w:rsidP="00C529B1">
      <w:pPr>
        <w:jc w:val="both"/>
        <w:rPr>
          <w:b/>
          <w:bCs/>
        </w:rPr>
      </w:pPr>
    </w:p>
    <w:p w14:paraId="393F0BA0" w14:textId="77777777" w:rsidR="00B01120" w:rsidRDefault="00B01120" w:rsidP="00C529B1">
      <w:pPr>
        <w:jc w:val="both"/>
        <w:rPr>
          <w:b/>
          <w:bCs/>
        </w:rPr>
      </w:pPr>
    </w:p>
    <w:p w14:paraId="03E94A1F" w14:textId="3F8E8E7B" w:rsidR="00A76ED1" w:rsidRPr="00210B51" w:rsidRDefault="00A76ED1" w:rsidP="00A76ED1">
      <w:pPr>
        <w:jc w:val="both"/>
        <w:rPr>
          <w:b/>
        </w:rPr>
      </w:pPr>
      <w:r>
        <w:rPr>
          <w:b/>
        </w:rPr>
        <w:t>17</w:t>
      </w:r>
      <w:r w:rsidRPr="00210B51">
        <w:rPr>
          <w:b/>
        </w:rPr>
        <w:t xml:space="preserve">. </w:t>
      </w:r>
      <w:r>
        <w:rPr>
          <w:b/>
        </w:rPr>
        <w:t>January 28</w:t>
      </w:r>
      <w:r w:rsidRPr="00210B51">
        <w:rPr>
          <w:b/>
        </w:rPr>
        <w:t xml:space="preserve">: Foucault  </w:t>
      </w:r>
    </w:p>
    <w:p w14:paraId="27CD3292" w14:textId="77777777" w:rsidR="00A76ED1" w:rsidRPr="0013658F" w:rsidRDefault="00A76ED1" w:rsidP="00A76ED1">
      <w:pPr>
        <w:jc w:val="both"/>
      </w:pPr>
      <w:r w:rsidRPr="0013658F">
        <w:t xml:space="preserve">Foucault ((1986) 2005)- “Disciplinary Power and Subjection” in Law and Anthropology. Ed Moore. </w:t>
      </w:r>
    </w:p>
    <w:p w14:paraId="0619E46F" w14:textId="2775703F" w:rsidR="00A76ED1" w:rsidRPr="00210B51" w:rsidRDefault="00A76ED1" w:rsidP="00A76ED1">
      <w:pPr>
        <w:jc w:val="both"/>
      </w:pPr>
      <w:r w:rsidRPr="0013658F">
        <w:t>Foucault – “Prison Talk” in Po</w:t>
      </w:r>
      <w:r w:rsidR="001D09C3" w:rsidRPr="0013658F">
        <w:t>wer/Knowledge. Edited by Colin G</w:t>
      </w:r>
      <w:r w:rsidRPr="0013658F">
        <w:t>ordon.</w:t>
      </w:r>
      <w:r w:rsidRPr="00210B51">
        <w:t xml:space="preserve"> </w:t>
      </w:r>
    </w:p>
    <w:p w14:paraId="2A5D1E30" w14:textId="77777777" w:rsidR="00A76ED1" w:rsidRPr="00210B51" w:rsidRDefault="00A76ED1" w:rsidP="00A76ED1">
      <w:pPr>
        <w:jc w:val="both"/>
      </w:pPr>
      <w:r w:rsidRPr="00210B51">
        <w:t>Smart –  “The Power of Law” pp 4-25</w:t>
      </w:r>
    </w:p>
    <w:p w14:paraId="5B4BBEF3" w14:textId="77777777" w:rsidR="00A76ED1" w:rsidRDefault="00A76ED1" w:rsidP="00C529B1">
      <w:pPr>
        <w:jc w:val="both"/>
        <w:rPr>
          <w:b/>
          <w:bCs/>
        </w:rPr>
      </w:pPr>
    </w:p>
    <w:p w14:paraId="1B1A1B5D" w14:textId="77777777" w:rsidR="00A76ED1" w:rsidRDefault="00A76ED1" w:rsidP="00C529B1">
      <w:pPr>
        <w:jc w:val="both"/>
        <w:rPr>
          <w:b/>
          <w:bCs/>
        </w:rPr>
      </w:pPr>
    </w:p>
    <w:p w14:paraId="42ADD0CB" w14:textId="3117162E" w:rsidR="006F3F03" w:rsidRPr="00210B51" w:rsidRDefault="00A76ED1" w:rsidP="00C529B1">
      <w:pPr>
        <w:jc w:val="both"/>
        <w:rPr>
          <w:bCs/>
        </w:rPr>
      </w:pPr>
      <w:r>
        <w:rPr>
          <w:b/>
          <w:bCs/>
        </w:rPr>
        <w:t>18. February 4</w:t>
      </w:r>
      <w:r w:rsidR="006F3F03" w:rsidRPr="007102FA">
        <w:rPr>
          <w:b/>
          <w:bCs/>
        </w:rPr>
        <w:t>: Feminist Legal Theory</w:t>
      </w:r>
      <w:r w:rsidR="001E728E">
        <w:rPr>
          <w:b/>
          <w:bCs/>
        </w:rPr>
        <w:t xml:space="preserve"> and Rights Litigation</w:t>
      </w:r>
    </w:p>
    <w:p w14:paraId="405E8CFA" w14:textId="77777777" w:rsidR="006F3F03" w:rsidRDefault="001E728E" w:rsidP="00C529B1">
      <w:pPr>
        <w:jc w:val="both"/>
      </w:pPr>
      <w:r>
        <w:t xml:space="preserve">Olsen – </w:t>
      </w:r>
      <w:r w:rsidR="006F3F03">
        <w:t xml:space="preserve"> “The Sex of Law” pp 77-84</w:t>
      </w:r>
    </w:p>
    <w:p w14:paraId="06533C8C" w14:textId="1E591A62" w:rsidR="00626727" w:rsidRPr="00210B51" w:rsidRDefault="00210B51" w:rsidP="003B1DFF">
      <w:pPr>
        <w:jc w:val="both"/>
      </w:pPr>
      <w:r>
        <w:t>Chambers, L. and Roth, J (2014).</w:t>
      </w:r>
      <w:r w:rsidR="00626727" w:rsidRPr="00210B51">
        <w:t xml:space="preserve"> “Prejudice Unveiled: The Niqab in Court” Canadian Journal of Law and Society. 29:3. </w:t>
      </w:r>
    </w:p>
    <w:p w14:paraId="424685A6" w14:textId="77777777" w:rsidR="003B1DFF" w:rsidRDefault="003B1DFF" w:rsidP="003B1DFF">
      <w:pPr>
        <w:jc w:val="both"/>
      </w:pPr>
    </w:p>
    <w:p w14:paraId="26821363" w14:textId="77777777" w:rsidR="003B1DFF" w:rsidRPr="00210B51" w:rsidRDefault="003B1DFF" w:rsidP="00C529B1">
      <w:pPr>
        <w:jc w:val="both"/>
      </w:pPr>
      <w:r w:rsidRPr="00210B51">
        <w:t>Suggested:</w:t>
      </w:r>
    </w:p>
    <w:p w14:paraId="672E8DE3" w14:textId="77777777" w:rsidR="00440BDB" w:rsidRDefault="00440BDB" w:rsidP="00440BDB">
      <w:pPr>
        <w:jc w:val="both"/>
      </w:pPr>
      <w:r w:rsidRPr="00932020">
        <w:t>LEAF factum in N.S. v. R.</w:t>
      </w:r>
      <w:r w:rsidR="00D576BF">
        <w:t xml:space="preserve"> for discussion on tutorial</w:t>
      </w:r>
    </w:p>
    <w:p w14:paraId="05B5D1A2" w14:textId="77777777" w:rsidR="00626727" w:rsidRDefault="00626727" w:rsidP="00440BDB">
      <w:pPr>
        <w:jc w:val="both"/>
      </w:pPr>
    </w:p>
    <w:p w14:paraId="0532D8FD" w14:textId="77777777" w:rsidR="006F3F03" w:rsidRDefault="006F3F03" w:rsidP="00440BDB">
      <w:pPr>
        <w:jc w:val="both"/>
      </w:pPr>
    </w:p>
    <w:p w14:paraId="0ABB268C" w14:textId="132E622C" w:rsidR="006F3F03" w:rsidRPr="009A4034" w:rsidRDefault="00FC0F30" w:rsidP="00C529B1">
      <w:pPr>
        <w:jc w:val="both"/>
        <w:rPr>
          <w:b/>
          <w:bCs/>
        </w:rPr>
      </w:pPr>
      <w:r>
        <w:rPr>
          <w:b/>
          <w:bCs/>
        </w:rPr>
        <w:t>19</w:t>
      </w:r>
      <w:r w:rsidR="00D576BF">
        <w:rPr>
          <w:b/>
          <w:bCs/>
        </w:rPr>
        <w:t xml:space="preserve">. </w:t>
      </w:r>
      <w:r w:rsidR="00BC2F5A">
        <w:rPr>
          <w:b/>
          <w:bCs/>
        </w:rPr>
        <w:t>February 11</w:t>
      </w:r>
      <w:r w:rsidR="006F3F03" w:rsidRPr="009A4034">
        <w:rPr>
          <w:b/>
          <w:bCs/>
        </w:rPr>
        <w:t>: Critical Race Theory</w:t>
      </w:r>
      <w:r w:rsidR="00116010">
        <w:rPr>
          <w:b/>
          <w:bCs/>
        </w:rPr>
        <w:t xml:space="preserve"> </w:t>
      </w:r>
      <w:r w:rsidR="00210B51" w:rsidRPr="00210B51">
        <w:rPr>
          <w:bCs/>
        </w:rPr>
        <w:t>[A]</w:t>
      </w:r>
    </w:p>
    <w:p w14:paraId="48C28B05" w14:textId="77777777" w:rsidR="00017123" w:rsidRPr="00017123" w:rsidRDefault="006F3F03" w:rsidP="00017123">
      <w:pPr>
        <w:jc w:val="both"/>
      </w:pPr>
      <w:r>
        <w:t>Calavita – Chapter 4, “The Color of Law” pp 51-73</w:t>
      </w:r>
    </w:p>
    <w:p w14:paraId="6A5C2790" w14:textId="77777777" w:rsidR="00017123" w:rsidRPr="00017123" w:rsidRDefault="00017123" w:rsidP="00017123">
      <w:pPr>
        <w:jc w:val="both"/>
      </w:pPr>
      <w:r w:rsidRPr="00692AD5">
        <w:t>Backhouse, C. “White Female Help and Chinese-Canadian Employers: Race, Class, Gender, and Law in the Case of Yee Clun, 1924” Canadian Ethnic Studies XXVI:3 (1994) 34-52.</w:t>
      </w:r>
    </w:p>
    <w:p w14:paraId="6C66BCF7" w14:textId="77777777" w:rsidR="00440BDB" w:rsidRPr="00210B51" w:rsidRDefault="008921E9" w:rsidP="00C529B1">
      <w:pPr>
        <w:jc w:val="both"/>
      </w:pPr>
      <w:r w:rsidRPr="00210B51">
        <w:t>Derr</w:t>
      </w:r>
      <w:r w:rsidR="005D31B1" w:rsidRPr="00210B51">
        <w:t>ick Bell: Who is Afraid of Criti</w:t>
      </w:r>
      <w:r w:rsidRPr="00210B51">
        <w:t xml:space="preserve">cal Race Theory? http://lawdawghall.blogspot.ca/2012/03/derrick-bell-whos-afraid-of-critical.html </w:t>
      </w:r>
    </w:p>
    <w:p w14:paraId="3C6C4106" w14:textId="77777777" w:rsidR="008921E9" w:rsidRDefault="008921E9" w:rsidP="00C529B1">
      <w:pPr>
        <w:jc w:val="both"/>
        <w:rPr>
          <w:b/>
          <w:bCs/>
        </w:rPr>
      </w:pPr>
    </w:p>
    <w:p w14:paraId="4FE89546" w14:textId="77777777" w:rsidR="00210B51" w:rsidRDefault="00210B51" w:rsidP="00C529B1">
      <w:pPr>
        <w:jc w:val="both"/>
        <w:rPr>
          <w:b/>
          <w:bCs/>
        </w:rPr>
      </w:pPr>
    </w:p>
    <w:p w14:paraId="20074F3C" w14:textId="77777777" w:rsidR="006F3F03" w:rsidRDefault="00D576BF" w:rsidP="00C529B1">
      <w:pPr>
        <w:jc w:val="both"/>
        <w:rPr>
          <w:b/>
          <w:bCs/>
        </w:rPr>
      </w:pPr>
      <w:r>
        <w:rPr>
          <w:b/>
          <w:bCs/>
        </w:rPr>
        <w:t xml:space="preserve">20. </w:t>
      </w:r>
      <w:r w:rsidR="005A7D56">
        <w:rPr>
          <w:b/>
          <w:bCs/>
        </w:rPr>
        <w:t>Feb 18</w:t>
      </w:r>
      <w:r w:rsidR="006F3F03" w:rsidRPr="009A4034">
        <w:rPr>
          <w:b/>
          <w:bCs/>
        </w:rPr>
        <w:t>: Reading Week</w:t>
      </w:r>
    </w:p>
    <w:p w14:paraId="6E1FAACE" w14:textId="77777777" w:rsidR="00210B51" w:rsidRDefault="00210B51" w:rsidP="00C529B1">
      <w:pPr>
        <w:jc w:val="both"/>
        <w:rPr>
          <w:b/>
          <w:bCs/>
        </w:rPr>
      </w:pPr>
    </w:p>
    <w:p w14:paraId="53777249" w14:textId="77777777" w:rsidR="00BC2F5A" w:rsidRDefault="00BC2F5A" w:rsidP="00BC2F5A">
      <w:pPr>
        <w:jc w:val="both"/>
        <w:rPr>
          <w:b/>
          <w:bCs/>
        </w:rPr>
      </w:pPr>
    </w:p>
    <w:p w14:paraId="28682AEB" w14:textId="5DBAC265" w:rsidR="00BC2F5A" w:rsidRPr="009A4034" w:rsidRDefault="00FC0F30" w:rsidP="00BC2F5A">
      <w:pPr>
        <w:jc w:val="both"/>
        <w:rPr>
          <w:b/>
          <w:bCs/>
        </w:rPr>
      </w:pPr>
      <w:r>
        <w:rPr>
          <w:b/>
          <w:bCs/>
        </w:rPr>
        <w:t>21</w:t>
      </w:r>
      <w:r w:rsidR="00BC2F5A">
        <w:rPr>
          <w:b/>
          <w:bCs/>
        </w:rPr>
        <w:t xml:space="preserve">. February 25: </w:t>
      </w:r>
      <w:r w:rsidR="00BC2F5A" w:rsidRPr="009A4034">
        <w:rPr>
          <w:b/>
          <w:bCs/>
        </w:rPr>
        <w:t>Citizenship</w:t>
      </w:r>
      <w:r w:rsidR="00210B51">
        <w:rPr>
          <w:b/>
          <w:bCs/>
        </w:rPr>
        <w:t xml:space="preserve"> </w:t>
      </w:r>
    </w:p>
    <w:p w14:paraId="3F434F64" w14:textId="77777777" w:rsidR="009A5D36" w:rsidRPr="00971A10" w:rsidRDefault="009A5D36" w:rsidP="00BC2F5A">
      <w:pPr>
        <w:jc w:val="both"/>
        <w:rPr>
          <w:highlight w:val="red"/>
        </w:rPr>
      </w:pPr>
    </w:p>
    <w:p w14:paraId="144976E3" w14:textId="77777777" w:rsidR="00BC2F5A" w:rsidRDefault="00BC2F5A" w:rsidP="00BC2F5A">
      <w:pPr>
        <w:jc w:val="both"/>
      </w:pPr>
      <w:r w:rsidRPr="00971A10">
        <w:t xml:space="preserve">Isin, E and Siemiatycki, M. “Making Space for Mosques” In </w:t>
      </w:r>
      <w:r w:rsidRPr="00971A10">
        <w:rPr>
          <w:i/>
        </w:rPr>
        <w:t>Race, Space and the Law</w:t>
      </w:r>
      <w:r w:rsidRPr="00971A10">
        <w:t xml:space="preserve"> ed. Sherene Razack. Between the Line,  pp 73-85</w:t>
      </w:r>
    </w:p>
    <w:p w14:paraId="6162A7D9" w14:textId="77777777" w:rsidR="00E91021" w:rsidRPr="00210B51" w:rsidRDefault="00E91021" w:rsidP="00BC2F5A">
      <w:pPr>
        <w:jc w:val="both"/>
      </w:pPr>
      <w:r w:rsidRPr="00210B51">
        <w:t>Park, Augustine (2014). Constitu</w:t>
      </w:r>
      <w:r w:rsidR="000A5718" w:rsidRPr="00210B51">
        <w:t>ting Omar Khadr: Cultural Racis</w:t>
      </w:r>
      <w:r w:rsidRPr="00210B51">
        <w:t>m, Childhood and Citizenship. International Political Sociology 2014 (8)</w:t>
      </w:r>
    </w:p>
    <w:p w14:paraId="382051C5" w14:textId="77777777" w:rsidR="0077581B" w:rsidRDefault="0077581B" w:rsidP="00C529B1">
      <w:pPr>
        <w:jc w:val="both"/>
        <w:rPr>
          <w:color w:val="FF0000"/>
        </w:rPr>
      </w:pPr>
    </w:p>
    <w:p w14:paraId="4AEDC0A4" w14:textId="77777777" w:rsidR="009A5D36" w:rsidRDefault="009A5D36" w:rsidP="00C529B1">
      <w:pPr>
        <w:jc w:val="both"/>
        <w:rPr>
          <w:b/>
        </w:rPr>
      </w:pPr>
      <w:r w:rsidRPr="00210B51">
        <w:rPr>
          <w:b/>
        </w:rPr>
        <w:t>Suggested:</w:t>
      </w:r>
    </w:p>
    <w:p w14:paraId="30F203C5" w14:textId="77777777" w:rsidR="00210B51" w:rsidRPr="00210B51" w:rsidRDefault="00210B51" w:rsidP="00C529B1">
      <w:pPr>
        <w:jc w:val="both"/>
        <w:rPr>
          <w:b/>
        </w:rPr>
      </w:pPr>
    </w:p>
    <w:p w14:paraId="1E0437C2" w14:textId="77777777" w:rsidR="0046035E" w:rsidRDefault="0046035E" w:rsidP="0046035E">
      <w:pPr>
        <w:jc w:val="both"/>
      </w:pPr>
      <w:r>
        <w:t xml:space="preserve">And see, </w:t>
      </w:r>
      <w:r w:rsidRPr="00D9633E">
        <w:t>Calavita – Chapter 5, “Many Laws, Many Orders” pp 74-93</w:t>
      </w:r>
    </w:p>
    <w:p w14:paraId="6A11F2AB" w14:textId="77777777" w:rsidR="0077581B" w:rsidRPr="00210B51" w:rsidRDefault="007C6B00" w:rsidP="00C529B1">
      <w:pPr>
        <w:jc w:val="both"/>
      </w:pPr>
      <w:r w:rsidRPr="00210B51">
        <w:t>Documentary on Khadr: You don’t like the truth [1.13/1.15]</w:t>
      </w:r>
    </w:p>
    <w:p w14:paraId="4D9788F9" w14:textId="77777777" w:rsidR="00B74AE6" w:rsidRPr="00210B51" w:rsidRDefault="00B74AE6" w:rsidP="00C529B1">
      <w:pPr>
        <w:jc w:val="both"/>
      </w:pPr>
      <w:r w:rsidRPr="00210B51">
        <w:t>http://www.cbc.ca/documentaries/omar-khadr-out-of-the-shadows</w:t>
      </w:r>
    </w:p>
    <w:p w14:paraId="496EA627" w14:textId="77777777" w:rsidR="007C6B00" w:rsidRPr="00BD331F" w:rsidRDefault="007C6B00" w:rsidP="00C529B1">
      <w:pPr>
        <w:jc w:val="both"/>
        <w:rPr>
          <w:color w:val="FF0000"/>
        </w:rPr>
      </w:pPr>
    </w:p>
    <w:p w14:paraId="34E8FD03" w14:textId="77777777" w:rsidR="006F3F03" w:rsidRDefault="006F3F03" w:rsidP="00C529B1">
      <w:pPr>
        <w:jc w:val="both"/>
      </w:pPr>
    </w:p>
    <w:p w14:paraId="693F2392" w14:textId="60C074CE" w:rsidR="000A5718" w:rsidRPr="00210B51" w:rsidRDefault="00FC0F30" w:rsidP="00116010">
      <w:pPr>
        <w:jc w:val="both"/>
        <w:rPr>
          <w:bCs/>
        </w:rPr>
      </w:pPr>
      <w:r>
        <w:rPr>
          <w:b/>
          <w:bCs/>
        </w:rPr>
        <w:t>22</w:t>
      </w:r>
      <w:r w:rsidR="00D576BF">
        <w:rPr>
          <w:b/>
          <w:bCs/>
        </w:rPr>
        <w:t xml:space="preserve">. </w:t>
      </w:r>
      <w:r w:rsidR="005A7D56">
        <w:rPr>
          <w:b/>
          <w:bCs/>
        </w:rPr>
        <w:t>March 3</w:t>
      </w:r>
      <w:r w:rsidR="00BC2F5A">
        <w:rPr>
          <w:b/>
          <w:bCs/>
        </w:rPr>
        <w:t>:</w:t>
      </w:r>
      <w:r w:rsidR="00116010">
        <w:rPr>
          <w:b/>
          <w:bCs/>
        </w:rPr>
        <w:t xml:space="preserve"> </w:t>
      </w:r>
      <w:r w:rsidR="00971A10">
        <w:rPr>
          <w:b/>
          <w:bCs/>
        </w:rPr>
        <w:t xml:space="preserve">Law and </w:t>
      </w:r>
      <w:r w:rsidR="00116010">
        <w:rPr>
          <w:b/>
          <w:bCs/>
        </w:rPr>
        <w:t>Aboriginal Peoples</w:t>
      </w:r>
      <w:r w:rsidR="0077581B">
        <w:rPr>
          <w:b/>
          <w:bCs/>
        </w:rPr>
        <w:t xml:space="preserve"> </w:t>
      </w:r>
      <w:r w:rsidR="00210B51">
        <w:rPr>
          <w:b/>
          <w:bCs/>
        </w:rPr>
        <w:t xml:space="preserve"> </w:t>
      </w:r>
    </w:p>
    <w:p w14:paraId="36447CD2" w14:textId="77777777" w:rsidR="00C47E70" w:rsidRPr="00210B51" w:rsidRDefault="00C47E70" w:rsidP="000A5718">
      <w:pPr>
        <w:tabs>
          <w:tab w:val="left" w:pos="3200"/>
        </w:tabs>
        <w:jc w:val="both"/>
      </w:pPr>
      <w:r w:rsidRPr="00210B51">
        <w:t>Razack, S</w:t>
      </w:r>
      <w:r w:rsidR="000A5718" w:rsidRPr="00210B51">
        <w:t xml:space="preserve">. (2012). “Memorializing Colonial Power: The Death of Frank Paul”. Law &amp; Social Inquiry, 4: 908-932. </w:t>
      </w:r>
    </w:p>
    <w:p w14:paraId="7C754386" w14:textId="77777777" w:rsidR="00C47E70" w:rsidRPr="00210B51" w:rsidRDefault="00C47E70" w:rsidP="00C529B1">
      <w:pPr>
        <w:jc w:val="both"/>
      </w:pPr>
      <w:r w:rsidRPr="00210B51">
        <w:t xml:space="preserve">TRC report read: Introduction and some of the testimonies. </w:t>
      </w:r>
      <w:hyperlink r:id="rId14" w:history="1">
        <w:r w:rsidRPr="00210B51">
          <w:rPr>
            <w:rStyle w:val="Hyperlink"/>
            <w:color w:val="auto"/>
          </w:rPr>
          <w:t>http://www.trc.ca/websites/trcinstitution/File/2015/Findings/Survivors_Speak_2015_05_30_web_o.pdf</w:t>
        </w:r>
      </w:hyperlink>
    </w:p>
    <w:p w14:paraId="39AC7792" w14:textId="77777777" w:rsidR="00C47E70" w:rsidRDefault="00C47E70" w:rsidP="00C529B1">
      <w:pPr>
        <w:jc w:val="both"/>
      </w:pPr>
    </w:p>
    <w:p w14:paraId="2873FAAD" w14:textId="77777777" w:rsidR="000A5718" w:rsidRDefault="000A5718" w:rsidP="00C529B1">
      <w:pPr>
        <w:jc w:val="both"/>
      </w:pPr>
      <w:r>
        <w:t>Suggested:</w:t>
      </w:r>
    </w:p>
    <w:p w14:paraId="04648223" w14:textId="77777777" w:rsidR="000A5718" w:rsidRDefault="000A5718" w:rsidP="000A5718">
      <w:pPr>
        <w:jc w:val="both"/>
      </w:pPr>
      <w:r>
        <w:t xml:space="preserve">John Burrows, “Living Legal traditions” and “Recognizing a Multi-Juridical Legal Culture” in </w:t>
      </w:r>
      <w:r w:rsidRPr="00DB0099">
        <w:rPr>
          <w:i/>
        </w:rPr>
        <w:t>Canada’s Indigenous Constitution</w:t>
      </w:r>
      <w:r>
        <w:t>, University of Toronto Press, 2010, pp. 3-22 and 125-136</w:t>
      </w:r>
    </w:p>
    <w:p w14:paraId="1EE1308A" w14:textId="77777777" w:rsidR="000A5718" w:rsidRDefault="000A5718" w:rsidP="00C529B1">
      <w:pPr>
        <w:jc w:val="both"/>
      </w:pPr>
    </w:p>
    <w:p w14:paraId="400FDDF9" w14:textId="77777777" w:rsidR="006F3F03" w:rsidRDefault="006F3F03" w:rsidP="00C529B1">
      <w:pPr>
        <w:jc w:val="both"/>
      </w:pPr>
    </w:p>
    <w:p w14:paraId="52C68C51" w14:textId="4A462C1B" w:rsidR="00692AD5" w:rsidRDefault="00692AD5" w:rsidP="00692AD5">
      <w:pPr>
        <w:jc w:val="both"/>
        <w:rPr>
          <w:b/>
          <w:bCs/>
        </w:rPr>
      </w:pPr>
      <w:r>
        <w:rPr>
          <w:b/>
          <w:bCs/>
        </w:rPr>
        <w:t>23. March 10</w:t>
      </w:r>
      <w:r w:rsidRPr="009A4034">
        <w:rPr>
          <w:b/>
          <w:bCs/>
        </w:rPr>
        <w:t xml:space="preserve">: International Criminal Law </w:t>
      </w:r>
      <w:r w:rsidR="00E36D2D">
        <w:rPr>
          <w:b/>
          <w:bCs/>
        </w:rPr>
        <w:t xml:space="preserve"> [final essay due]</w:t>
      </w:r>
      <w:r w:rsidR="00210B51">
        <w:rPr>
          <w:b/>
          <w:bCs/>
        </w:rPr>
        <w:t xml:space="preserve"> </w:t>
      </w:r>
      <w:r w:rsidR="00A801CC">
        <w:rPr>
          <w:bCs/>
        </w:rPr>
        <w:t>– Guest Lecturer: Matt McManus</w:t>
      </w:r>
    </w:p>
    <w:p w14:paraId="0116D939" w14:textId="77777777" w:rsidR="00A801CC" w:rsidRDefault="00A801CC" w:rsidP="00692AD5">
      <w:pPr>
        <w:rPr>
          <w:bCs/>
        </w:rPr>
      </w:pPr>
    </w:p>
    <w:p w14:paraId="2601E51B" w14:textId="77777777" w:rsidR="00692AD5" w:rsidRDefault="00692AD5" w:rsidP="00692AD5">
      <w:pPr>
        <w:rPr>
          <w:bCs/>
        </w:rPr>
      </w:pPr>
      <w:r>
        <w:rPr>
          <w:bCs/>
        </w:rPr>
        <w:t xml:space="preserve">Mamdani, M (2013). ‘The Logic of Nuremberg’. </w:t>
      </w:r>
    </w:p>
    <w:p w14:paraId="31BF02F1" w14:textId="77777777" w:rsidR="00692AD5" w:rsidRPr="00692AD5" w:rsidRDefault="00692AD5" w:rsidP="00692AD5">
      <w:pPr>
        <w:rPr>
          <w:bCs/>
        </w:rPr>
      </w:pPr>
      <w:r w:rsidRPr="00692AD5">
        <w:rPr>
          <w:bCs/>
        </w:rPr>
        <w:t>http://www.lrb.co.uk/v35/n21/mahmood-mamdani/the-logic-of-nuremberg</w:t>
      </w:r>
    </w:p>
    <w:p w14:paraId="07E0B1FE" w14:textId="77777777" w:rsidR="00692AD5" w:rsidRDefault="00692AD5" w:rsidP="00692AD5">
      <w:pPr>
        <w:rPr>
          <w:bCs/>
        </w:rPr>
      </w:pPr>
      <w:r>
        <w:rPr>
          <w:bCs/>
        </w:rPr>
        <w:t>Koskenniemi (2004). The Civilizing Mission: International Law and the Colonial Encounter in the Late 19</w:t>
      </w:r>
      <w:r w:rsidRPr="00692AD5">
        <w:rPr>
          <w:bCs/>
          <w:vertAlign w:val="superscript"/>
        </w:rPr>
        <w:t>th</w:t>
      </w:r>
      <w:r>
        <w:rPr>
          <w:bCs/>
        </w:rPr>
        <w:t xml:space="preserve"> Century. </w:t>
      </w:r>
    </w:p>
    <w:p w14:paraId="521919F7" w14:textId="77777777" w:rsidR="00DE5C14" w:rsidRDefault="00DE5C14" w:rsidP="00692AD5">
      <w:pPr>
        <w:rPr>
          <w:bCs/>
        </w:rPr>
      </w:pPr>
    </w:p>
    <w:p w14:paraId="2805F784" w14:textId="77777777" w:rsidR="00692AD5" w:rsidRDefault="00692AD5" w:rsidP="00692AD5">
      <w:pPr>
        <w:rPr>
          <w:bCs/>
        </w:rPr>
      </w:pPr>
      <w:r>
        <w:rPr>
          <w:bCs/>
        </w:rPr>
        <w:t xml:space="preserve">Suggested: </w:t>
      </w:r>
    </w:p>
    <w:p w14:paraId="68552A09" w14:textId="77777777" w:rsidR="00FC0F30" w:rsidRDefault="00692AD5" w:rsidP="00FC0F30">
      <w:pPr>
        <w:rPr>
          <w:bCs/>
        </w:rPr>
      </w:pPr>
      <w:r>
        <w:rPr>
          <w:bCs/>
        </w:rPr>
        <w:t>Kazemi v. Islamic Republic of Iran (SCC)</w:t>
      </w:r>
    </w:p>
    <w:p w14:paraId="69AB184A" w14:textId="3D807E59" w:rsidR="0066007D" w:rsidRPr="00210B51" w:rsidRDefault="0066007D" w:rsidP="00FC0F30">
      <w:pPr>
        <w:rPr>
          <w:bCs/>
        </w:rPr>
      </w:pPr>
      <w:r w:rsidRPr="00210B51">
        <w:rPr>
          <w:bCs/>
        </w:rPr>
        <w:t>A</w:t>
      </w:r>
      <w:r w:rsidR="00FC0F30" w:rsidRPr="00210B51">
        <w:rPr>
          <w:bCs/>
        </w:rPr>
        <w:t xml:space="preserve">ntony Anghie (2008) . </w:t>
      </w:r>
      <w:r w:rsidRPr="00210B51">
        <w:rPr>
          <w:bCs/>
        </w:rPr>
        <w:t xml:space="preserve">“The Evolution of International Law: colonial and postcolonial realities” in Richard Falk, Balakrishnan Rajagopal and Jacqueline Stevens, eds., International Law and the Third World: reshaping justice (London: Routledge, 2008), 35-49 </w:t>
      </w:r>
    </w:p>
    <w:p w14:paraId="63CFB5D5" w14:textId="77777777" w:rsidR="0066007D" w:rsidRDefault="0066007D" w:rsidP="00692AD5">
      <w:pPr>
        <w:rPr>
          <w:bCs/>
        </w:rPr>
      </w:pPr>
    </w:p>
    <w:p w14:paraId="6499FDFE" w14:textId="77777777" w:rsidR="00692AD5" w:rsidRDefault="00692AD5" w:rsidP="00C529B1">
      <w:pPr>
        <w:jc w:val="both"/>
      </w:pPr>
    </w:p>
    <w:p w14:paraId="02B1E2B4" w14:textId="1398822C" w:rsidR="00116010" w:rsidRDefault="00692AD5" w:rsidP="00C529B1">
      <w:pPr>
        <w:jc w:val="both"/>
        <w:rPr>
          <w:b/>
          <w:bCs/>
        </w:rPr>
      </w:pPr>
      <w:r>
        <w:rPr>
          <w:b/>
          <w:bCs/>
        </w:rPr>
        <w:t>24</w:t>
      </w:r>
      <w:r w:rsidR="00D576BF">
        <w:rPr>
          <w:b/>
          <w:bCs/>
        </w:rPr>
        <w:t xml:space="preserve">. </w:t>
      </w:r>
      <w:r>
        <w:rPr>
          <w:b/>
          <w:bCs/>
        </w:rPr>
        <w:t>March 17</w:t>
      </w:r>
      <w:r w:rsidR="006F3F03" w:rsidRPr="009A4034">
        <w:rPr>
          <w:b/>
          <w:bCs/>
        </w:rPr>
        <w:t>: Inter</w:t>
      </w:r>
      <w:r w:rsidR="00116010">
        <w:rPr>
          <w:b/>
          <w:bCs/>
        </w:rPr>
        <w:t>national Human Rights Mechanisms [ESSAYS DUE]</w:t>
      </w:r>
      <w:r w:rsidR="0013658F">
        <w:rPr>
          <w:bCs/>
        </w:rPr>
        <w:t xml:space="preserve"> </w:t>
      </w:r>
      <w:bookmarkStart w:id="0" w:name="_GoBack"/>
      <w:bookmarkEnd w:id="0"/>
    </w:p>
    <w:p w14:paraId="6928C0E7" w14:textId="77777777" w:rsidR="00BE080E" w:rsidRPr="0013658F" w:rsidRDefault="00BE080E" w:rsidP="00C529B1">
      <w:pPr>
        <w:jc w:val="both"/>
        <w:rPr>
          <w:bCs/>
        </w:rPr>
      </w:pPr>
      <w:r w:rsidRPr="0013658F">
        <w:rPr>
          <w:bCs/>
        </w:rPr>
        <w:t xml:space="preserve">Brayson and Swain (2013). “The European Court of Human Rights and minorities in the United Kingdom: catalyst for change or hollow rhetoric?”. In The European Court of Human Rights. Ed. Dia Anagnostou. Edinburgh University Press. </w:t>
      </w:r>
    </w:p>
    <w:p w14:paraId="5B7D4458" w14:textId="3F727411" w:rsidR="00BE080E" w:rsidRPr="00210B51" w:rsidRDefault="00BE080E" w:rsidP="00C529B1">
      <w:pPr>
        <w:jc w:val="both"/>
        <w:rPr>
          <w:bCs/>
        </w:rPr>
      </w:pPr>
      <w:r w:rsidRPr="0013658F">
        <w:rPr>
          <w:bCs/>
        </w:rPr>
        <w:t xml:space="preserve">Niezen, R. ‘The Invention of indigenous peoples’ in Public Justice and the Anthropology of Law. Cambridge University Press.  </w:t>
      </w:r>
      <w:r w:rsidR="00626727" w:rsidRPr="0013658F">
        <w:rPr>
          <w:bCs/>
        </w:rPr>
        <w:t>(</w:t>
      </w:r>
      <w:r w:rsidRPr="0013658F">
        <w:rPr>
          <w:bCs/>
        </w:rPr>
        <w:t>On UN)</w:t>
      </w:r>
      <w:r w:rsidR="001D09C3" w:rsidRPr="001D09C3">
        <w:rPr>
          <w:rFonts w:ascii="Arial Unicode MS" w:eastAsia="Arial Unicode MS" w:cs="Arial Unicode MS"/>
          <w:sz w:val="22"/>
          <w:szCs w:val="22"/>
        </w:rPr>
        <w:t xml:space="preserve"> </w:t>
      </w:r>
    </w:p>
    <w:p w14:paraId="6FB3C96B" w14:textId="0B9F8A33" w:rsidR="00626727" w:rsidRDefault="00626727" w:rsidP="00626727">
      <w:pPr>
        <w:jc w:val="both"/>
        <w:rPr>
          <w:color w:val="FF0000"/>
        </w:rPr>
      </w:pPr>
    </w:p>
    <w:p w14:paraId="5F430BD3" w14:textId="77777777" w:rsidR="00BD22B3" w:rsidRDefault="00BD22B3" w:rsidP="00626727">
      <w:pPr>
        <w:jc w:val="both"/>
        <w:rPr>
          <w:color w:val="FF0000"/>
        </w:rPr>
      </w:pPr>
    </w:p>
    <w:p w14:paraId="1E795DC8" w14:textId="77777777" w:rsidR="009A5D36" w:rsidRDefault="00BE080E" w:rsidP="00C529B1">
      <w:pPr>
        <w:jc w:val="both"/>
        <w:rPr>
          <w:bCs/>
        </w:rPr>
      </w:pPr>
      <w:r>
        <w:rPr>
          <w:bCs/>
        </w:rPr>
        <w:t xml:space="preserve">Suggested: </w:t>
      </w:r>
    </w:p>
    <w:p w14:paraId="1C36B07B" w14:textId="5D985F0A" w:rsidR="009D3938" w:rsidRPr="00210B51" w:rsidRDefault="00BE080E" w:rsidP="009D3938">
      <w:pPr>
        <w:jc w:val="both"/>
        <w:rPr>
          <w:bCs/>
        </w:rPr>
      </w:pPr>
      <w:r w:rsidRPr="00210B51">
        <w:rPr>
          <w:bCs/>
        </w:rPr>
        <w:t xml:space="preserve">Kennedy, D (2002). The International Human Rights Movement: Part of the Problem? Harvard Human Rights Journal 15: 101-125. </w:t>
      </w:r>
      <w:r w:rsidR="00FC0F30" w:rsidRPr="00210B51">
        <w:rPr>
          <w:bCs/>
        </w:rPr>
        <w:br/>
      </w:r>
      <w:r w:rsidR="009D3938" w:rsidRPr="00210B51">
        <w:rPr>
          <w:bCs/>
        </w:rPr>
        <w:t xml:space="preserve">Lewitt, P and </w:t>
      </w:r>
      <w:r w:rsidR="00FC0F30" w:rsidRPr="00210B51">
        <w:rPr>
          <w:bCs/>
        </w:rPr>
        <w:t>Merry</w:t>
      </w:r>
      <w:r w:rsidR="00210B51">
        <w:rPr>
          <w:bCs/>
        </w:rPr>
        <w:t>, S</w:t>
      </w:r>
      <w:r w:rsidR="009D3938" w:rsidRPr="00210B51">
        <w:rPr>
          <w:bCs/>
        </w:rPr>
        <w:t xml:space="preserve"> (2009)</w:t>
      </w:r>
      <w:r w:rsidR="00FC0F30" w:rsidRPr="00210B51">
        <w:rPr>
          <w:bCs/>
        </w:rPr>
        <w:t xml:space="preserve">. </w:t>
      </w:r>
      <w:r w:rsidR="009D3938" w:rsidRPr="00210B51">
        <w:rPr>
          <w:bCs/>
        </w:rPr>
        <w:t xml:space="preserve">Local uses of global women's rights in Peru, China, India and the United States. Global Networks 9(4):441--461 </w:t>
      </w:r>
    </w:p>
    <w:p w14:paraId="3B54F0C5" w14:textId="77777777" w:rsidR="006F3F03" w:rsidRDefault="006F3F03" w:rsidP="00C529B1">
      <w:pPr>
        <w:jc w:val="both"/>
      </w:pPr>
    </w:p>
    <w:p w14:paraId="44A59660" w14:textId="22ED2D3C" w:rsidR="006F3F03" w:rsidRPr="009A4034" w:rsidRDefault="00D576BF" w:rsidP="00C529B1">
      <w:pPr>
        <w:jc w:val="both"/>
        <w:rPr>
          <w:b/>
          <w:bCs/>
        </w:rPr>
      </w:pPr>
      <w:r>
        <w:rPr>
          <w:b/>
          <w:bCs/>
        </w:rPr>
        <w:t xml:space="preserve">25. </w:t>
      </w:r>
      <w:r w:rsidR="005A7D56">
        <w:rPr>
          <w:b/>
          <w:bCs/>
        </w:rPr>
        <w:t>March 24</w:t>
      </w:r>
      <w:r w:rsidR="006F3F03" w:rsidRPr="009A4034">
        <w:rPr>
          <w:b/>
          <w:bCs/>
        </w:rPr>
        <w:t xml:space="preserve">: </w:t>
      </w:r>
      <w:r w:rsidR="009D3938">
        <w:rPr>
          <w:b/>
          <w:bCs/>
        </w:rPr>
        <w:t>Tutorial spoken words:</w:t>
      </w:r>
      <w:r w:rsidR="005D31B1">
        <w:rPr>
          <w:b/>
          <w:bCs/>
        </w:rPr>
        <w:t xml:space="preserve"> “Life of Canadian Law”</w:t>
      </w:r>
    </w:p>
    <w:p w14:paraId="1F86AE6E" w14:textId="77777777" w:rsidR="00E46A68" w:rsidRDefault="00E46A68" w:rsidP="00C529B1">
      <w:pPr>
        <w:jc w:val="both"/>
      </w:pPr>
    </w:p>
    <w:p w14:paraId="0CDE655D" w14:textId="3982E889" w:rsidR="00942341" w:rsidRDefault="00D576BF" w:rsidP="00C529B1">
      <w:pPr>
        <w:jc w:val="both"/>
        <w:rPr>
          <w:b/>
          <w:bCs/>
        </w:rPr>
      </w:pPr>
      <w:r>
        <w:rPr>
          <w:b/>
        </w:rPr>
        <w:t xml:space="preserve">26. </w:t>
      </w:r>
      <w:r w:rsidR="005A7D56">
        <w:rPr>
          <w:b/>
        </w:rPr>
        <w:t>March 31</w:t>
      </w:r>
      <w:r w:rsidR="005A7D56">
        <w:rPr>
          <w:b/>
          <w:vertAlign w:val="superscript"/>
        </w:rPr>
        <w:t>st</w:t>
      </w:r>
      <w:r w:rsidR="00E46A68">
        <w:t xml:space="preserve"> - </w:t>
      </w:r>
      <w:r w:rsidR="00E46A68" w:rsidRPr="009A4034">
        <w:rPr>
          <w:b/>
          <w:bCs/>
        </w:rPr>
        <w:t xml:space="preserve">Last Class and Exam </w:t>
      </w:r>
      <w:r>
        <w:rPr>
          <w:b/>
          <w:bCs/>
        </w:rPr>
        <w:t>Review</w:t>
      </w:r>
      <w:r w:rsidR="00210B51">
        <w:rPr>
          <w:b/>
          <w:bCs/>
        </w:rPr>
        <w:t xml:space="preserve"> </w:t>
      </w:r>
      <w:r w:rsidR="00210B51" w:rsidRPr="00210B51">
        <w:rPr>
          <w:bCs/>
        </w:rPr>
        <w:t>[D&amp;A]</w:t>
      </w:r>
    </w:p>
    <w:p w14:paraId="4AE36B7D" w14:textId="77777777" w:rsidR="000A5718" w:rsidRDefault="000A5718" w:rsidP="000A5718">
      <w:pPr>
        <w:jc w:val="both"/>
      </w:pPr>
      <w:r>
        <w:t>Calavita – Chapter 8, “Conclusion” pp 148-154</w:t>
      </w:r>
    </w:p>
    <w:p w14:paraId="119F77EC" w14:textId="77777777" w:rsidR="006F3F03" w:rsidRPr="00942341" w:rsidRDefault="006F3F03" w:rsidP="00C529B1">
      <w:pPr>
        <w:jc w:val="both"/>
      </w:pPr>
    </w:p>
    <w:p w14:paraId="2DC86696" w14:textId="77777777" w:rsidR="006A4DFA" w:rsidRDefault="006A4DFA" w:rsidP="00DA26F5">
      <w:pPr>
        <w:jc w:val="both"/>
      </w:pPr>
    </w:p>
    <w:p w14:paraId="6811B423" w14:textId="77777777" w:rsidR="006A4DFA" w:rsidRDefault="006A4DFA" w:rsidP="00DA26F5">
      <w:pPr>
        <w:jc w:val="both"/>
      </w:pPr>
    </w:p>
    <w:p w14:paraId="0A387E22" w14:textId="77777777" w:rsidR="006F3F03" w:rsidRPr="00654CB4" w:rsidRDefault="006F3F03" w:rsidP="00DA26F5">
      <w:pPr>
        <w:jc w:val="both"/>
        <w:rPr>
          <w:b/>
          <w:bCs/>
        </w:rPr>
      </w:pPr>
      <w:r w:rsidRPr="00654CB4">
        <w:rPr>
          <w:b/>
          <w:bCs/>
        </w:rPr>
        <w:t>IMPORTANT INFORMATION FOR STUDENTS:</w:t>
      </w:r>
    </w:p>
    <w:p w14:paraId="344B828B" w14:textId="77777777" w:rsidR="006F3F03" w:rsidRDefault="006F3F03" w:rsidP="00DA26F5">
      <w:pPr>
        <w:jc w:val="both"/>
      </w:pPr>
    </w:p>
    <w:p w14:paraId="4FDBDE12" w14:textId="35D65B8D" w:rsidR="006F3F03" w:rsidRDefault="006F3F03" w:rsidP="003B34AF">
      <w:pPr>
        <w:jc w:val="both"/>
      </w:pPr>
      <w:r w:rsidRPr="007435B2">
        <w:rPr>
          <w:b/>
          <w:bCs/>
        </w:rPr>
        <w:t>Last date</w:t>
      </w:r>
      <w:r>
        <w:t xml:space="preserve"> to enro</w:t>
      </w:r>
      <w:r w:rsidR="006A4DFA">
        <w:t>l</w:t>
      </w:r>
      <w:r>
        <w:t xml:space="preserve">l with permission of the Course Director is </w:t>
      </w:r>
      <w:r w:rsidR="0097384C" w:rsidRPr="0097384C">
        <w:rPr>
          <w:i/>
          <w:iCs/>
        </w:rPr>
        <w:t xml:space="preserve">October 22 </w:t>
      </w:r>
      <w:r w:rsidRPr="0097384C">
        <w:t xml:space="preserve">and the last date to drop without a grade is </w:t>
      </w:r>
      <w:r w:rsidR="0097384C" w:rsidRPr="0097384C">
        <w:rPr>
          <w:i/>
          <w:iCs/>
        </w:rPr>
        <w:t>February 5</w:t>
      </w:r>
      <w:r w:rsidR="0097384C">
        <w:rPr>
          <w:i/>
          <w:iCs/>
        </w:rPr>
        <w:t>.</w:t>
      </w:r>
      <w:r>
        <w:t xml:space="preserve"> </w:t>
      </w:r>
    </w:p>
    <w:p w14:paraId="40E32EA2" w14:textId="77777777" w:rsidR="006F3F03" w:rsidRPr="00027DE9" w:rsidRDefault="006F3F03" w:rsidP="00DA26F5">
      <w:pPr>
        <w:jc w:val="both"/>
      </w:pPr>
    </w:p>
    <w:p w14:paraId="6680CB60" w14:textId="77777777" w:rsidR="006F3F03" w:rsidRDefault="006F3F03" w:rsidP="00DA26F5">
      <w:r w:rsidRPr="00C13986">
        <w:rPr>
          <w:b/>
          <w:bCs/>
        </w:rPr>
        <w:t>York University Senate Policy on Academic Honesty</w:t>
      </w:r>
      <w:r>
        <w:t>:</w:t>
      </w:r>
      <w:r>
        <w:br/>
      </w:r>
      <w:hyperlink r:id="rId15" w:anchor="_Toc89156096" w:history="1">
        <w:r>
          <w:rPr>
            <w:rStyle w:val="Hyperlink"/>
          </w:rPr>
          <w:t>http://www.yorku.ca/secretariat/policies/document.php?document=69#_Toc89156096</w:t>
        </w:r>
      </w:hyperlink>
      <w:r>
        <w:t xml:space="preserve">). </w:t>
      </w:r>
      <w:r>
        <w:br/>
        <w:t>To better cement an understanding of appropriate practices, go to the Academic Integrity web site at York University (</w:t>
      </w:r>
      <w:hyperlink r:id="rId16" w:history="1">
        <w:r>
          <w:rPr>
            <w:rStyle w:val="Hyperlink"/>
          </w:rPr>
          <w:t>http://www.yorku.ca/academicintegrity</w:t>
        </w:r>
      </w:hyperlink>
      <w:r>
        <w:t xml:space="preserve">), read the section ‘For Students,’ and complete the Academic Integrity Tutorial: </w:t>
      </w:r>
      <w:r>
        <w:br/>
        <w:t>(</w:t>
      </w:r>
      <w:hyperlink r:id="rId17" w:history="1">
        <w:r>
          <w:rPr>
            <w:rStyle w:val="Hyperlink"/>
          </w:rPr>
          <w:t>http://www.yorku.ca/tutorial/academic_integrity/</w:t>
        </w:r>
      </w:hyperlink>
      <w:r>
        <w:t xml:space="preserve">). </w:t>
      </w:r>
    </w:p>
    <w:p w14:paraId="7607097F" w14:textId="77777777" w:rsidR="006F3F03" w:rsidRDefault="006F3F03" w:rsidP="00DA26F5">
      <w:pPr>
        <w:jc w:val="both"/>
      </w:pPr>
    </w:p>
    <w:p w14:paraId="0704555C" w14:textId="77777777" w:rsidR="006F3F03" w:rsidRPr="00654CB4" w:rsidRDefault="006F3F03" w:rsidP="00DA26F5">
      <w:pPr>
        <w:rPr>
          <w:b/>
          <w:bCs/>
        </w:rPr>
      </w:pPr>
      <w:r w:rsidRPr="00654CB4">
        <w:rPr>
          <w:b/>
          <w:bCs/>
        </w:rPr>
        <w:t>York University Senate Policy Regarding Academic Accommodation for Students with Disabilities:</w:t>
      </w:r>
    </w:p>
    <w:p w14:paraId="4C4B6697" w14:textId="77777777" w:rsidR="006F3F03" w:rsidRDefault="0013658F" w:rsidP="00DA26F5">
      <w:pPr>
        <w:jc w:val="both"/>
      </w:pPr>
      <w:hyperlink r:id="rId18" w:history="1">
        <w:r w:rsidR="006F3F03" w:rsidRPr="00E62E85">
          <w:rPr>
            <w:rStyle w:val="Hyperlink"/>
          </w:rPr>
          <w:t>http://www.yorku.ca/secretariat/policies/document.php?document=68</w:t>
        </w:r>
      </w:hyperlink>
      <w:r w:rsidR="006F3F03">
        <w:t xml:space="preserve"> </w:t>
      </w:r>
    </w:p>
    <w:p w14:paraId="03AB833B" w14:textId="77777777" w:rsidR="006F3F03" w:rsidRDefault="006F3F03" w:rsidP="00DA26F5">
      <w:pPr>
        <w:jc w:val="both"/>
      </w:pPr>
      <w:r>
        <w:t>Please be sure to bring your request for accommodation to the Course Director’s attention as soon as possible in the Fall term.</w:t>
      </w:r>
    </w:p>
    <w:p w14:paraId="65D60FC6" w14:textId="77777777" w:rsidR="006F3F03" w:rsidRDefault="006F3F03" w:rsidP="00DA26F5">
      <w:pPr>
        <w:jc w:val="both"/>
      </w:pPr>
    </w:p>
    <w:p w14:paraId="6028189D" w14:textId="77777777" w:rsidR="006F3F03" w:rsidRPr="00DA26F5" w:rsidRDefault="006F3F03" w:rsidP="00DA26F5">
      <w:pPr>
        <w:jc w:val="both"/>
        <w:rPr>
          <w:b/>
          <w:bCs/>
        </w:rPr>
      </w:pPr>
      <w:r w:rsidRPr="00DA26F5">
        <w:rPr>
          <w:b/>
          <w:bCs/>
        </w:rPr>
        <w:t>Religious Observance Accommodation:</w:t>
      </w:r>
    </w:p>
    <w:p w14:paraId="7D451845" w14:textId="77777777" w:rsidR="006F3F03" w:rsidRDefault="006F3F03" w:rsidP="00DA26F5">
      <w:pPr>
        <w:jc w:val="both"/>
      </w:pPr>
      <w:r w:rsidRPr="00DA26F5">
        <w:t>York University is committed to respecting the religious beliefs and practices of all members of</w:t>
      </w:r>
      <w:r>
        <w:t xml:space="preserve"> </w:t>
      </w:r>
      <w:r w:rsidRPr="00DA26F5">
        <w:t>the community, and making accommodations for observances of special significance to</w:t>
      </w:r>
      <w:r>
        <w:t xml:space="preserve"> </w:t>
      </w:r>
      <w:r w:rsidRPr="00DA26F5">
        <w:t>adherents. Should any of these dates specified in this syllabus for the examination pose such a</w:t>
      </w:r>
      <w:r>
        <w:t xml:space="preserve"> conflict for you, contact Prof Bunting </w:t>
      </w:r>
      <w:r w:rsidRPr="00DA26F5">
        <w:t>within the first 3 weeks of class.</w:t>
      </w:r>
    </w:p>
    <w:p w14:paraId="5EC11C14" w14:textId="77777777" w:rsidR="006F3F03" w:rsidRDefault="006F3F03" w:rsidP="00DA26F5">
      <w:pPr>
        <w:jc w:val="both"/>
      </w:pPr>
    </w:p>
    <w:p w14:paraId="315F25C6" w14:textId="77777777" w:rsidR="006F3F03" w:rsidRPr="00226769" w:rsidRDefault="006F3F03" w:rsidP="00DA26F5">
      <w:pPr>
        <w:jc w:val="both"/>
        <w:rPr>
          <w:b/>
          <w:bCs/>
        </w:rPr>
      </w:pPr>
      <w:r w:rsidRPr="00226769">
        <w:rPr>
          <w:b/>
          <w:bCs/>
        </w:rPr>
        <w:t>Requests for Grade Reappraisals</w:t>
      </w:r>
    </w:p>
    <w:p w14:paraId="2A38F619" w14:textId="77777777" w:rsidR="006F3F03" w:rsidRDefault="006F3F03" w:rsidP="00DA26F5">
      <w:pPr>
        <w:jc w:val="both"/>
      </w:pPr>
      <w:r>
        <w:t xml:space="preserve">If you wish to dispute a grade on one of the assignments during course, please make your request </w:t>
      </w:r>
      <w:r w:rsidRPr="009E1991">
        <w:rPr>
          <w:i/>
          <w:iCs/>
        </w:rPr>
        <w:t>in writing</w:t>
      </w:r>
      <w:r>
        <w:t xml:space="preserve"> to your tutorial leader first. Your TA will re-read your assignment and meet with you to explain the grade. If you are not satisfied with the explanation, your can request that the Course Director re-evaluate the assignment. The Course Director may change the grade up or down.</w:t>
      </w:r>
    </w:p>
    <w:p w14:paraId="6645D666" w14:textId="77777777" w:rsidR="006F3F03" w:rsidRDefault="006F3F03" w:rsidP="00DA26F5">
      <w:pPr>
        <w:jc w:val="both"/>
      </w:pPr>
    </w:p>
    <w:p w14:paraId="203F0589" w14:textId="77777777" w:rsidR="006F3F03" w:rsidRPr="00226769" w:rsidRDefault="006F3F03" w:rsidP="00DA26F5">
      <w:pPr>
        <w:jc w:val="both"/>
      </w:pPr>
      <w:r>
        <w:t>If you believe your final course</w:t>
      </w:r>
      <w:r w:rsidRPr="00226769">
        <w:t xml:space="preserve"> grade is incorrect, f</w:t>
      </w:r>
      <w:r>
        <w:t>irst consult the Course Director</w:t>
      </w:r>
      <w:r w:rsidRPr="00226769">
        <w:t>. Following your dis</w:t>
      </w:r>
      <w:r>
        <w:t>cussion</w:t>
      </w:r>
      <w:r w:rsidRPr="00226769">
        <w:t>, if you still wish to apply for a grade reappraisal, you must do so within</w:t>
      </w:r>
      <w:r w:rsidRPr="00226769">
        <w:rPr>
          <w:b/>
          <w:bCs/>
        </w:rPr>
        <w:t xml:space="preserve"> 21 days after the release of grades</w:t>
      </w:r>
      <w:r w:rsidRPr="00226769">
        <w:t xml:space="preserve">. If the course director is not available, notify the office or department listed below prior to the deadline.  Please contact the registrar’s office if you </w:t>
      </w:r>
      <w:r w:rsidR="006A4DFA">
        <w:t>have any questions or concerns.</w:t>
      </w:r>
      <w:r w:rsidRPr="00226769">
        <w:t xml:space="preserve"> </w:t>
      </w:r>
      <w:hyperlink r:id="rId19" w:history="1">
        <w:r w:rsidRPr="00E62E85">
          <w:rPr>
            <w:rStyle w:val="Hyperlink"/>
          </w:rPr>
          <w:t>www.registrar.yorku.ca</w:t>
        </w:r>
      </w:hyperlink>
      <w:r>
        <w:t xml:space="preserve"> </w:t>
      </w:r>
    </w:p>
    <w:p w14:paraId="2CC423A0" w14:textId="77777777" w:rsidR="006F3F03" w:rsidRPr="00226769" w:rsidRDefault="006F3F03" w:rsidP="00DA26F5">
      <w:pPr>
        <w:jc w:val="both"/>
      </w:pPr>
      <w:r w:rsidRPr="00226769">
        <w:t xml:space="preserve">Grade reappraisal requests need to be submitted to the Department </w:t>
      </w:r>
      <w:r>
        <w:t>of</w:t>
      </w:r>
      <w:r w:rsidRPr="00226769">
        <w:t xml:space="preserve"> </w:t>
      </w:r>
      <w:r>
        <w:t>Social Science;</w:t>
      </w:r>
      <w:r w:rsidRPr="00226769">
        <w:t xml:space="preserve"> you may contact Alda Lone S746 or Jacquie Selman S744 Ross. Telephone: 416-736-5054</w:t>
      </w:r>
    </w:p>
    <w:p w14:paraId="7B977635" w14:textId="77777777" w:rsidR="006F3F03" w:rsidRDefault="006F3F03" w:rsidP="00DA26F5">
      <w:pPr>
        <w:jc w:val="both"/>
      </w:pPr>
    </w:p>
    <w:p w14:paraId="7C9EBB39" w14:textId="77777777" w:rsidR="006F3F03" w:rsidRPr="00C13986" w:rsidRDefault="006F3F03" w:rsidP="00DA26F5">
      <w:pPr>
        <w:jc w:val="both"/>
        <w:rPr>
          <w:b/>
          <w:bCs/>
        </w:rPr>
      </w:pPr>
      <w:r w:rsidRPr="00C13986">
        <w:rPr>
          <w:b/>
          <w:bCs/>
        </w:rPr>
        <w:t>Student Code of Conduct</w:t>
      </w:r>
    </w:p>
    <w:p w14:paraId="7081702B" w14:textId="77777777" w:rsidR="006F3F03" w:rsidRPr="00226769" w:rsidRDefault="006F3F03" w:rsidP="00DA26F5">
      <w:pPr>
        <w:jc w:val="both"/>
      </w:pPr>
      <w:r w:rsidRPr="00226769">
        <w:t xml:space="preserve">The Student Code of Conduct, including information on standards of student conduct, processes for dealing with a complaint and student rights can be found at: </w:t>
      </w:r>
    </w:p>
    <w:p w14:paraId="30B90234" w14:textId="77777777" w:rsidR="006F3F03" w:rsidRPr="00226769" w:rsidRDefault="0013658F" w:rsidP="00DA26F5">
      <w:pPr>
        <w:jc w:val="both"/>
      </w:pPr>
      <w:hyperlink r:id="rId20" w:history="1">
        <w:r w:rsidR="006F3F03" w:rsidRPr="00226769">
          <w:rPr>
            <w:rStyle w:val="Hyperlink"/>
          </w:rPr>
          <w:t>http://www.yorku.ca/secretariat/policies/document.php?document=124</w:t>
        </w:r>
      </w:hyperlink>
      <w:r w:rsidR="006F3F03" w:rsidRPr="00226769">
        <w:t xml:space="preserve">.  </w:t>
      </w:r>
    </w:p>
    <w:p w14:paraId="449663FA" w14:textId="77777777" w:rsidR="006F3F03" w:rsidRPr="00226769" w:rsidRDefault="006F3F03" w:rsidP="00DA26F5">
      <w:pPr>
        <w:jc w:val="both"/>
      </w:pPr>
    </w:p>
    <w:p w14:paraId="5886348D" w14:textId="77777777" w:rsidR="006F3F03" w:rsidRPr="00654CB4" w:rsidRDefault="006F3F03" w:rsidP="00DA26F5">
      <w:pPr>
        <w:jc w:val="both"/>
        <w:rPr>
          <w:b/>
          <w:bCs/>
        </w:rPr>
      </w:pPr>
      <w:r w:rsidRPr="00C13986">
        <w:rPr>
          <w:b/>
          <w:bCs/>
        </w:rPr>
        <w:t>Research &amp; Writing Support</w:t>
      </w:r>
    </w:p>
    <w:p w14:paraId="2F9AF10C" w14:textId="77777777" w:rsidR="006F3F03" w:rsidRPr="00226769" w:rsidRDefault="006F3F03" w:rsidP="00DA26F5">
      <w:pPr>
        <w:jc w:val="both"/>
      </w:pPr>
      <w:r w:rsidRPr="00226769">
        <w:t xml:space="preserve">Centre for Academic Writing: S329 Ross Building  (416-736-5134) The Centre offers practical instruction in all aspects of writing to all students in the Faculty of Arts. Some tutors specialize in working with ESL students, and in working with students who have disabilities affecting language learning and language skills. The chief method of instruction is individual tutoring where sessions usually last 25 or 50 minutes. The Centre also provides electronic tutoring, credit courses and a number of group workshops that deal with the major elements of effective essay writing. The website provides students with up-to-date information about the Centre for Academic Writing activities, and links to academic resources, such as style guides, dictionaries, an encyclopedia, and an on-line writing center. </w:t>
      </w:r>
      <w:hyperlink r:id="rId21" w:history="1">
        <w:r w:rsidRPr="00226769">
          <w:rPr>
            <w:rStyle w:val="Hyperlink"/>
          </w:rPr>
          <w:t>www.laps.yorku.ca/caw/</w:t>
        </w:r>
      </w:hyperlink>
    </w:p>
    <w:p w14:paraId="661E1B72" w14:textId="77777777" w:rsidR="006F3F03" w:rsidRPr="00226769" w:rsidRDefault="006F3F03" w:rsidP="00DA26F5">
      <w:pPr>
        <w:jc w:val="both"/>
      </w:pPr>
    </w:p>
    <w:p w14:paraId="2C0FC632" w14:textId="77777777" w:rsidR="006F3F03" w:rsidRPr="00226769" w:rsidRDefault="006F3F03" w:rsidP="00DA26F5">
      <w:pPr>
        <w:jc w:val="both"/>
      </w:pPr>
      <w:r w:rsidRPr="00226769">
        <w:t xml:space="preserve">Learning Skills Program: </w:t>
      </w:r>
      <w:hyperlink r:id="rId22" w:history="1">
        <w:r w:rsidRPr="00226769">
          <w:rPr>
            <w:rStyle w:val="Hyperlink"/>
          </w:rPr>
          <w:t>http://www.yorku.ca/cdc/lsp/lsp_p_and_p.html</w:t>
        </w:r>
      </w:hyperlink>
      <w:r w:rsidRPr="00226769">
        <w:t xml:space="preserve"> </w:t>
      </w:r>
    </w:p>
    <w:p w14:paraId="74334793" w14:textId="77777777" w:rsidR="006F3F03" w:rsidRPr="00226769" w:rsidRDefault="006F3F03" w:rsidP="00DA26F5">
      <w:pPr>
        <w:jc w:val="both"/>
      </w:pPr>
    </w:p>
    <w:p w14:paraId="6E4DC351" w14:textId="77777777" w:rsidR="006F3F03" w:rsidRPr="00226769" w:rsidRDefault="006F3F03" w:rsidP="00DA26F5">
      <w:pPr>
        <w:jc w:val="both"/>
      </w:pPr>
      <w:r w:rsidRPr="00226769">
        <w:t>E-TUTOR (</w:t>
      </w:r>
      <w:hyperlink r:id="rId23" w:history="1">
        <w:r w:rsidRPr="00226769">
          <w:rPr>
            <w:rStyle w:val="Hyperlink"/>
          </w:rPr>
          <w:t>etutor@yorku.ca</w:t>
        </w:r>
      </w:hyperlink>
      <w:r w:rsidRPr="00226769">
        <w:t>): E-tutor will comment on essay drafts. E-tutor tries to respond within one week but in periods of high demand it may take longer. Plan ahead so that you can take advantage of this excellent service.</w:t>
      </w:r>
    </w:p>
    <w:p w14:paraId="384AF070" w14:textId="77777777" w:rsidR="006F3F03" w:rsidRPr="00226769" w:rsidRDefault="006F3F03" w:rsidP="00DA26F5">
      <w:pPr>
        <w:jc w:val="both"/>
      </w:pPr>
    </w:p>
    <w:p w14:paraId="2DF6D5D3" w14:textId="77777777" w:rsidR="006F3F03" w:rsidRDefault="006F3F03" w:rsidP="00DA26F5">
      <w:pPr>
        <w:jc w:val="both"/>
      </w:pPr>
    </w:p>
    <w:p w14:paraId="7175D106" w14:textId="77777777" w:rsidR="006F3F03" w:rsidRDefault="006F3F03" w:rsidP="00DA26F5">
      <w:pPr>
        <w:jc w:val="both"/>
      </w:pPr>
    </w:p>
    <w:sectPr w:rsidR="006F3F03" w:rsidSect="004671AA">
      <w:footerReference w:type="even" r:id="rId24"/>
      <w:footerReference w:type="default" r:id="rId2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E171A" w14:textId="77777777" w:rsidR="001D09C3" w:rsidRDefault="001D09C3" w:rsidP="001D5460">
      <w:r>
        <w:separator/>
      </w:r>
    </w:p>
  </w:endnote>
  <w:endnote w:type="continuationSeparator" w:id="0">
    <w:p w14:paraId="04FAEEC3" w14:textId="77777777" w:rsidR="001D09C3" w:rsidRDefault="001D09C3" w:rsidP="001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EF8A" w14:textId="77777777" w:rsidR="001D09C3" w:rsidRDefault="001D09C3" w:rsidP="008E0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978CB" w14:textId="77777777" w:rsidR="001D09C3" w:rsidRDefault="001D09C3" w:rsidP="008E0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FBB" w14:textId="77777777" w:rsidR="001D09C3" w:rsidRDefault="001D09C3" w:rsidP="008E0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58F">
      <w:rPr>
        <w:rStyle w:val="PageNumber"/>
        <w:noProof/>
      </w:rPr>
      <w:t>1</w:t>
    </w:r>
    <w:r>
      <w:rPr>
        <w:rStyle w:val="PageNumber"/>
      </w:rPr>
      <w:fldChar w:fldCharType="end"/>
    </w:r>
  </w:p>
  <w:p w14:paraId="7064A50D" w14:textId="77777777" w:rsidR="001D09C3" w:rsidRDefault="001D09C3" w:rsidP="008E04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EB36" w14:textId="77777777" w:rsidR="001D09C3" w:rsidRDefault="001D09C3" w:rsidP="001D5460">
      <w:r>
        <w:separator/>
      </w:r>
    </w:p>
  </w:footnote>
  <w:footnote w:type="continuationSeparator" w:id="0">
    <w:p w14:paraId="3F0FA966" w14:textId="77777777" w:rsidR="001D09C3" w:rsidRDefault="001D09C3" w:rsidP="001D5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967"/>
    <w:multiLevelType w:val="hybridMultilevel"/>
    <w:tmpl w:val="5D2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Lucida Grande"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Lucida Grande"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1">
    <w:nsid w:val="356E786F"/>
    <w:multiLevelType w:val="hybridMultilevel"/>
    <w:tmpl w:val="28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E2D0E"/>
    <w:multiLevelType w:val="hybridMultilevel"/>
    <w:tmpl w:val="964C89E6"/>
    <w:lvl w:ilvl="0" w:tplc="04090001">
      <w:start w:val="1"/>
      <w:numFmt w:val="bullet"/>
      <w:lvlText w:val=""/>
      <w:lvlJc w:val="left"/>
      <w:pPr>
        <w:ind w:left="720" w:hanging="360"/>
      </w:pPr>
      <w:rPr>
        <w:rFonts w:ascii="Symbol" w:hAnsi="Symbol" w:cs="Lucida Grand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Lucida Grande"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Lucida Grande"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AA"/>
    <w:rsid w:val="00017123"/>
    <w:rsid w:val="00017F3D"/>
    <w:rsid w:val="00021F01"/>
    <w:rsid w:val="000239BF"/>
    <w:rsid w:val="00027DE9"/>
    <w:rsid w:val="00045773"/>
    <w:rsid w:val="0004656D"/>
    <w:rsid w:val="00066C4C"/>
    <w:rsid w:val="000A5718"/>
    <w:rsid w:val="000D18E1"/>
    <w:rsid w:val="000D3E33"/>
    <w:rsid w:val="000E2486"/>
    <w:rsid w:val="000E50BE"/>
    <w:rsid w:val="000F3079"/>
    <w:rsid w:val="00105FD6"/>
    <w:rsid w:val="0011031E"/>
    <w:rsid w:val="00116010"/>
    <w:rsid w:val="0013658F"/>
    <w:rsid w:val="0015249B"/>
    <w:rsid w:val="001579DB"/>
    <w:rsid w:val="0017475D"/>
    <w:rsid w:val="001773D8"/>
    <w:rsid w:val="0018432D"/>
    <w:rsid w:val="001D09C3"/>
    <w:rsid w:val="001D5460"/>
    <w:rsid w:val="001E728E"/>
    <w:rsid w:val="001E7C81"/>
    <w:rsid w:val="001F7954"/>
    <w:rsid w:val="00210B51"/>
    <w:rsid w:val="00217E0C"/>
    <w:rsid w:val="00226769"/>
    <w:rsid w:val="00275E1E"/>
    <w:rsid w:val="002770CE"/>
    <w:rsid w:val="00277D7D"/>
    <w:rsid w:val="00316FF7"/>
    <w:rsid w:val="00327880"/>
    <w:rsid w:val="003670E6"/>
    <w:rsid w:val="00367FF2"/>
    <w:rsid w:val="003915EF"/>
    <w:rsid w:val="003B1DFF"/>
    <w:rsid w:val="003B34AF"/>
    <w:rsid w:val="003D64A2"/>
    <w:rsid w:val="003E2E1A"/>
    <w:rsid w:val="003F55DA"/>
    <w:rsid w:val="00405947"/>
    <w:rsid w:val="0041371B"/>
    <w:rsid w:val="0043509F"/>
    <w:rsid w:val="00440BDB"/>
    <w:rsid w:val="0046035E"/>
    <w:rsid w:val="00462866"/>
    <w:rsid w:val="004671AA"/>
    <w:rsid w:val="00480852"/>
    <w:rsid w:val="00487AB6"/>
    <w:rsid w:val="00495FD3"/>
    <w:rsid w:val="004D517B"/>
    <w:rsid w:val="004E2EC9"/>
    <w:rsid w:val="004E314A"/>
    <w:rsid w:val="00512BEA"/>
    <w:rsid w:val="00524343"/>
    <w:rsid w:val="005301EA"/>
    <w:rsid w:val="005530F2"/>
    <w:rsid w:val="00553117"/>
    <w:rsid w:val="005730FD"/>
    <w:rsid w:val="0058492D"/>
    <w:rsid w:val="00587CC0"/>
    <w:rsid w:val="005A1A41"/>
    <w:rsid w:val="005A1C8F"/>
    <w:rsid w:val="005A7D56"/>
    <w:rsid w:val="005D1341"/>
    <w:rsid w:val="005D31B1"/>
    <w:rsid w:val="00615136"/>
    <w:rsid w:val="00626727"/>
    <w:rsid w:val="00654CB4"/>
    <w:rsid w:val="0066007D"/>
    <w:rsid w:val="00677933"/>
    <w:rsid w:val="00692AD5"/>
    <w:rsid w:val="006A240B"/>
    <w:rsid w:val="006A4DFA"/>
    <w:rsid w:val="006B43FD"/>
    <w:rsid w:val="006B7438"/>
    <w:rsid w:val="006C1E6F"/>
    <w:rsid w:val="006C4394"/>
    <w:rsid w:val="006E0F09"/>
    <w:rsid w:val="006F3F03"/>
    <w:rsid w:val="006F590D"/>
    <w:rsid w:val="007102FA"/>
    <w:rsid w:val="007434F6"/>
    <w:rsid w:val="007435B2"/>
    <w:rsid w:val="00762C65"/>
    <w:rsid w:val="0077581B"/>
    <w:rsid w:val="007B0E1B"/>
    <w:rsid w:val="007C5D0D"/>
    <w:rsid w:val="007C6B00"/>
    <w:rsid w:val="007D74FD"/>
    <w:rsid w:val="007F15F5"/>
    <w:rsid w:val="0085023F"/>
    <w:rsid w:val="008633E1"/>
    <w:rsid w:val="0086694C"/>
    <w:rsid w:val="008921E9"/>
    <w:rsid w:val="00897391"/>
    <w:rsid w:val="008B2B51"/>
    <w:rsid w:val="008E0402"/>
    <w:rsid w:val="008F3D03"/>
    <w:rsid w:val="008F64FC"/>
    <w:rsid w:val="009125E4"/>
    <w:rsid w:val="00932020"/>
    <w:rsid w:val="00942341"/>
    <w:rsid w:val="00971A10"/>
    <w:rsid w:val="0097384C"/>
    <w:rsid w:val="009A037C"/>
    <w:rsid w:val="009A4034"/>
    <w:rsid w:val="009A5D36"/>
    <w:rsid w:val="009D3938"/>
    <w:rsid w:val="009E1991"/>
    <w:rsid w:val="00A46E56"/>
    <w:rsid w:val="00A520E8"/>
    <w:rsid w:val="00A64341"/>
    <w:rsid w:val="00A729D1"/>
    <w:rsid w:val="00A76ED1"/>
    <w:rsid w:val="00A801CC"/>
    <w:rsid w:val="00A80BB6"/>
    <w:rsid w:val="00AA4E8F"/>
    <w:rsid w:val="00AA63F1"/>
    <w:rsid w:val="00AA78C7"/>
    <w:rsid w:val="00AB7034"/>
    <w:rsid w:val="00AD24D6"/>
    <w:rsid w:val="00AD4CDA"/>
    <w:rsid w:val="00AF440D"/>
    <w:rsid w:val="00B01120"/>
    <w:rsid w:val="00B104F6"/>
    <w:rsid w:val="00B206BD"/>
    <w:rsid w:val="00B24444"/>
    <w:rsid w:val="00B3430A"/>
    <w:rsid w:val="00B61933"/>
    <w:rsid w:val="00B74AE6"/>
    <w:rsid w:val="00B85574"/>
    <w:rsid w:val="00B93281"/>
    <w:rsid w:val="00B95084"/>
    <w:rsid w:val="00B97686"/>
    <w:rsid w:val="00BA7423"/>
    <w:rsid w:val="00BC2F5A"/>
    <w:rsid w:val="00BD22B3"/>
    <w:rsid w:val="00BD331F"/>
    <w:rsid w:val="00BE080E"/>
    <w:rsid w:val="00C01FC0"/>
    <w:rsid w:val="00C13986"/>
    <w:rsid w:val="00C1492D"/>
    <w:rsid w:val="00C22082"/>
    <w:rsid w:val="00C23084"/>
    <w:rsid w:val="00C31BA1"/>
    <w:rsid w:val="00C32E2A"/>
    <w:rsid w:val="00C47E70"/>
    <w:rsid w:val="00C50611"/>
    <w:rsid w:val="00C529B1"/>
    <w:rsid w:val="00C71A11"/>
    <w:rsid w:val="00C86331"/>
    <w:rsid w:val="00CB2614"/>
    <w:rsid w:val="00CB3372"/>
    <w:rsid w:val="00CC3A1E"/>
    <w:rsid w:val="00CE036B"/>
    <w:rsid w:val="00D04395"/>
    <w:rsid w:val="00D0758E"/>
    <w:rsid w:val="00D1357B"/>
    <w:rsid w:val="00D2588F"/>
    <w:rsid w:val="00D268F1"/>
    <w:rsid w:val="00D3203D"/>
    <w:rsid w:val="00D4286A"/>
    <w:rsid w:val="00D46DBA"/>
    <w:rsid w:val="00D4747E"/>
    <w:rsid w:val="00D56860"/>
    <w:rsid w:val="00D576BF"/>
    <w:rsid w:val="00D60A9F"/>
    <w:rsid w:val="00D9633E"/>
    <w:rsid w:val="00D96BD2"/>
    <w:rsid w:val="00DA26F5"/>
    <w:rsid w:val="00DB0099"/>
    <w:rsid w:val="00DB3BB9"/>
    <w:rsid w:val="00DB6135"/>
    <w:rsid w:val="00DC7FF6"/>
    <w:rsid w:val="00DE5C14"/>
    <w:rsid w:val="00DF3FC5"/>
    <w:rsid w:val="00DF7388"/>
    <w:rsid w:val="00E319B5"/>
    <w:rsid w:val="00E3394B"/>
    <w:rsid w:val="00E35D9A"/>
    <w:rsid w:val="00E36D2D"/>
    <w:rsid w:val="00E46A68"/>
    <w:rsid w:val="00E62E85"/>
    <w:rsid w:val="00E71416"/>
    <w:rsid w:val="00E91021"/>
    <w:rsid w:val="00EA0DB6"/>
    <w:rsid w:val="00F10701"/>
    <w:rsid w:val="00F257DA"/>
    <w:rsid w:val="00F358CC"/>
    <w:rsid w:val="00F44D9F"/>
    <w:rsid w:val="00FB3884"/>
    <w:rsid w:val="00FB3D92"/>
    <w:rsid w:val="00FC0F30"/>
    <w:rsid w:val="00FC2199"/>
    <w:rsid w:val="00FD6650"/>
    <w:rsid w:val="00FE31F8"/>
    <w:rsid w:val="00FE5136"/>
    <w:rsid w:val="00FF30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1D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E2E1A"/>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5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53C"/>
    <w:rPr>
      <w:rFonts w:ascii="Lucida Grande" w:hAnsi="Lucida Grande"/>
      <w:sz w:val="18"/>
      <w:szCs w:val="18"/>
    </w:rPr>
  </w:style>
  <w:style w:type="character" w:styleId="Hyperlink">
    <w:name w:val="Hyperlink"/>
    <w:basedOn w:val="DefaultParagraphFont"/>
    <w:uiPriority w:val="99"/>
    <w:semiHidden/>
    <w:rsid w:val="008F64FC"/>
    <w:rPr>
      <w:color w:val="0000FF"/>
      <w:u w:val="single"/>
    </w:rPr>
  </w:style>
  <w:style w:type="paragraph" w:styleId="ListParagraph">
    <w:name w:val="List Paragraph"/>
    <w:basedOn w:val="Normal"/>
    <w:uiPriority w:val="99"/>
    <w:qFormat/>
    <w:rsid w:val="0086694C"/>
    <w:pPr>
      <w:ind w:left="720"/>
      <w:contextualSpacing/>
    </w:pPr>
  </w:style>
  <w:style w:type="paragraph" w:styleId="Footer">
    <w:name w:val="footer"/>
    <w:basedOn w:val="Normal"/>
    <w:link w:val="FooterChar"/>
    <w:uiPriority w:val="99"/>
    <w:rsid w:val="008E0402"/>
    <w:pPr>
      <w:tabs>
        <w:tab w:val="center" w:pos="4320"/>
        <w:tab w:val="right" w:pos="8640"/>
      </w:tabs>
    </w:pPr>
  </w:style>
  <w:style w:type="character" w:customStyle="1" w:styleId="FooterChar">
    <w:name w:val="Footer Char"/>
    <w:basedOn w:val="DefaultParagraphFont"/>
    <w:link w:val="Footer"/>
    <w:uiPriority w:val="99"/>
    <w:rsid w:val="008E0402"/>
  </w:style>
  <w:style w:type="character" w:styleId="PageNumber">
    <w:name w:val="page number"/>
    <w:basedOn w:val="DefaultParagraphFont"/>
    <w:uiPriority w:val="99"/>
    <w:rsid w:val="008E0402"/>
  </w:style>
  <w:style w:type="character" w:styleId="Emphasis">
    <w:name w:val="Emphasis"/>
    <w:basedOn w:val="DefaultParagraphFont"/>
    <w:uiPriority w:val="99"/>
    <w:qFormat/>
    <w:rsid w:val="00D96BD2"/>
    <w:rPr>
      <w:b/>
      <w:bCs/>
    </w:rPr>
  </w:style>
  <w:style w:type="character" w:customStyle="1" w:styleId="ft">
    <w:name w:val="ft"/>
    <w:basedOn w:val="DefaultParagraphFont"/>
    <w:uiPriority w:val="99"/>
    <w:rsid w:val="00D96BD2"/>
  </w:style>
  <w:style w:type="character" w:styleId="CommentReference">
    <w:name w:val="annotation reference"/>
    <w:basedOn w:val="DefaultParagraphFont"/>
    <w:rsid w:val="005A7D56"/>
    <w:rPr>
      <w:sz w:val="18"/>
      <w:szCs w:val="18"/>
    </w:rPr>
  </w:style>
  <w:style w:type="paragraph" w:styleId="CommentText">
    <w:name w:val="annotation text"/>
    <w:basedOn w:val="Normal"/>
    <w:link w:val="CommentTextChar"/>
    <w:rsid w:val="005A7D56"/>
  </w:style>
  <w:style w:type="character" w:customStyle="1" w:styleId="CommentTextChar">
    <w:name w:val="Comment Text Char"/>
    <w:basedOn w:val="DefaultParagraphFont"/>
    <w:link w:val="CommentText"/>
    <w:rsid w:val="005A7D56"/>
    <w:rPr>
      <w:rFonts w:cs="Cambria"/>
      <w:sz w:val="24"/>
      <w:szCs w:val="24"/>
    </w:rPr>
  </w:style>
  <w:style w:type="paragraph" w:styleId="CommentSubject">
    <w:name w:val="annotation subject"/>
    <w:basedOn w:val="CommentText"/>
    <w:next w:val="CommentText"/>
    <w:link w:val="CommentSubjectChar"/>
    <w:rsid w:val="005A7D56"/>
    <w:rPr>
      <w:b/>
      <w:bCs/>
      <w:sz w:val="20"/>
      <w:szCs w:val="20"/>
    </w:rPr>
  </w:style>
  <w:style w:type="character" w:customStyle="1" w:styleId="CommentSubjectChar">
    <w:name w:val="Comment Subject Char"/>
    <w:basedOn w:val="CommentTextChar"/>
    <w:link w:val="CommentSubject"/>
    <w:rsid w:val="005A7D56"/>
    <w:rPr>
      <w:rFonts w:cs="Cambria"/>
      <w:b/>
      <w:bCs/>
      <w:sz w:val="20"/>
      <w:szCs w:val="20"/>
    </w:rPr>
  </w:style>
  <w:style w:type="paragraph" w:styleId="Revision">
    <w:name w:val="Revision"/>
    <w:hidden/>
    <w:rsid w:val="00DC7FF6"/>
    <w:rPr>
      <w:rFonts w:cs="Cambria"/>
      <w:sz w:val="24"/>
      <w:szCs w:val="24"/>
    </w:rPr>
  </w:style>
  <w:style w:type="paragraph" w:styleId="NormalWeb">
    <w:name w:val="Normal (Web)"/>
    <w:basedOn w:val="Normal"/>
    <w:uiPriority w:val="99"/>
    <w:unhideWhenUsed/>
    <w:rsid w:val="00AA4E8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692A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E2E1A"/>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5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53C"/>
    <w:rPr>
      <w:rFonts w:ascii="Lucida Grande" w:hAnsi="Lucida Grande"/>
      <w:sz w:val="18"/>
      <w:szCs w:val="18"/>
    </w:rPr>
  </w:style>
  <w:style w:type="character" w:styleId="Hyperlink">
    <w:name w:val="Hyperlink"/>
    <w:basedOn w:val="DefaultParagraphFont"/>
    <w:uiPriority w:val="99"/>
    <w:semiHidden/>
    <w:rsid w:val="008F64FC"/>
    <w:rPr>
      <w:color w:val="0000FF"/>
      <w:u w:val="single"/>
    </w:rPr>
  </w:style>
  <w:style w:type="paragraph" w:styleId="ListParagraph">
    <w:name w:val="List Paragraph"/>
    <w:basedOn w:val="Normal"/>
    <w:uiPriority w:val="99"/>
    <w:qFormat/>
    <w:rsid w:val="0086694C"/>
    <w:pPr>
      <w:ind w:left="720"/>
      <w:contextualSpacing/>
    </w:pPr>
  </w:style>
  <w:style w:type="paragraph" w:styleId="Footer">
    <w:name w:val="footer"/>
    <w:basedOn w:val="Normal"/>
    <w:link w:val="FooterChar"/>
    <w:uiPriority w:val="99"/>
    <w:rsid w:val="008E0402"/>
    <w:pPr>
      <w:tabs>
        <w:tab w:val="center" w:pos="4320"/>
        <w:tab w:val="right" w:pos="8640"/>
      </w:tabs>
    </w:pPr>
  </w:style>
  <w:style w:type="character" w:customStyle="1" w:styleId="FooterChar">
    <w:name w:val="Footer Char"/>
    <w:basedOn w:val="DefaultParagraphFont"/>
    <w:link w:val="Footer"/>
    <w:uiPriority w:val="99"/>
    <w:rsid w:val="008E0402"/>
  </w:style>
  <w:style w:type="character" w:styleId="PageNumber">
    <w:name w:val="page number"/>
    <w:basedOn w:val="DefaultParagraphFont"/>
    <w:uiPriority w:val="99"/>
    <w:rsid w:val="008E0402"/>
  </w:style>
  <w:style w:type="character" w:styleId="Emphasis">
    <w:name w:val="Emphasis"/>
    <w:basedOn w:val="DefaultParagraphFont"/>
    <w:uiPriority w:val="99"/>
    <w:qFormat/>
    <w:rsid w:val="00D96BD2"/>
    <w:rPr>
      <w:b/>
      <w:bCs/>
    </w:rPr>
  </w:style>
  <w:style w:type="character" w:customStyle="1" w:styleId="ft">
    <w:name w:val="ft"/>
    <w:basedOn w:val="DefaultParagraphFont"/>
    <w:uiPriority w:val="99"/>
    <w:rsid w:val="00D96BD2"/>
  </w:style>
  <w:style w:type="character" w:styleId="CommentReference">
    <w:name w:val="annotation reference"/>
    <w:basedOn w:val="DefaultParagraphFont"/>
    <w:rsid w:val="005A7D56"/>
    <w:rPr>
      <w:sz w:val="18"/>
      <w:szCs w:val="18"/>
    </w:rPr>
  </w:style>
  <w:style w:type="paragraph" w:styleId="CommentText">
    <w:name w:val="annotation text"/>
    <w:basedOn w:val="Normal"/>
    <w:link w:val="CommentTextChar"/>
    <w:rsid w:val="005A7D56"/>
  </w:style>
  <w:style w:type="character" w:customStyle="1" w:styleId="CommentTextChar">
    <w:name w:val="Comment Text Char"/>
    <w:basedOn w:val="DefaultParagraphFont"/>
    <w:link w:val="CommentText"/>
    <w:rsid w:val="005A7D56"/>
    <w:rPr>
      <w:rFonts w:cs="Cambria"/>
      <w:sz w:val="24"/>
      <w:szCs w:val="24"/>
    </w:rPr>
  </w:style>
  <w:style w:type="paragraph" w:styleId="CommentSubject">
    <w:name w:val="annotation subject"/>
    <w:basedOn w:val="CommentText"/>
    <w:next w:val="CommentText"/>
    <w:link w:val="CommentSubjectChar"/>
    <w:rsid w:val="005A7D56"/>
    <w:rPr>
      <w:b/>
      <w:bCs/>
      <w:sz w:val="20"/>
      <w:szCs w:val="20"/>
    </w:rPr>
  </w:style>
  <w:style w:type="character" w:customStyle="1" w:styleId="CommentSubjectChar">
    <w:name w:val="Comment Subject Char"/>
    <w:basedOn w:val="CommentTextChar"/>
    <w:link w:val="CommentSubject"/>
    <w:rsid w:val="005A7D56"/>
    <w:rPr>
      <w:rFonts w:cs="Cambria"/>
      <w:b/>
      <w:bCs/>
      <w:sz w:val="20"/>
      <w:szCs w:val="20"/>
    </w:rPr>
  </w:style>
  <w:style w:type="paragraph" w:styleId="Revision">
    <w:name w:val="Revision"/>
    <w:hidden/>
    <w:rsid w:val="00DC7FF6"/>
    <w:rPr>
      <w:rFonts w:cs="Cambria"/>
      <w:sz w:val="24"/>
      <w:szCs w:val="24"/>
    </w:rPr>
  </w:style>
  <w:style w:type="paragraph" w:styleId="NormalWeb">
    <w:name w:val="Normal (Web)"/>
    <w:basedOn w:val="Normal"/>
    <w:uiPriority w:val="99"/>
    <w:unhideWhenUsed/>
    <w:rsid w:val="00AA4E8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rsid w:val="00692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1261">
      <w:bodyDiv w:val="1"/>
      <w:marLeft w:val="0"/>
      <w:marRight w:val="0"/>
      <w:marTop w:val="0"/>
      <w:marBottom w:val="0"/>
      <w:divBdr>
        <w:top w:val="none" w:sz="0" w:space="0" w:color="auto"/>
        <w:left w:val="none" w:sz="0" w:space="0" w:color="auto"/>
        <w:bottom w:val="none" w:sz="0" w:space="0" w:color="auto"/>
        <w:right w:val="none" w:sz="0" w:space="0" w:color="auto"/>
      </w:divBdr>
      <w:divsChild>
        <w:div w:id="1302230985">
          <w:marLeft w:val="0"/>
          <w:marRight w:val="0"/>
          <w:marTop w:val="0"/>
          <w:marBottom w:val="0"/>
          <w:divBdr>
            <w:top w:val="none" w:sz="0" w:space="0" w:color="auto"/>
            <w:left w:val="none" w:sz="0" w:space="0" w:color="auto"/>
            <w:bottom w:val="none" w:sz="0" w:space="0" w:color="auto"/>
            <w:right w:val="none" w:sz="0" w:space="0" w:color="auto"/>
          </w:divBdr>
          <w:divsChild>
            <w:div w:id="1544512457">
              <w:marLeft w:val="0"/>
              <w:marRight w:val="0"/>
              <w:marTop w:val="0"/>
              <w:marBottom w:val="0"/>
              <w:divBdr>
                <w:top w:val="none" w:sz="0" w:space="0" w:color="auto"/>
                <w:left w:val="none" w:sz="0" w:space="0" w:color="auto"/>
                <w:bottom w:val="none" w:sz="0" w:space="0" w:color="auto"/>
                <w:right w:val="none" w:sz="0" w:space="0" w:color="auto"/>
              </w:divBdr>
              <w:divsChild>
                <w:div w:id="89661611">
                  <w:marLeft w:val="0"/>
                  <w:marRight w:val="0"/>
                  <w:marTop w:val="0"/>
                  <w:marBottom w:val="0"/>
                  <w:divBdr>
                    <w:top w:val="none" w:sz="0" w:space="0" w:color="auto"/>
                    <w:left w:val="none" w:sz="0" w:space="0" w:color="auto"/>
                    <w:bottom w:val="none" w:sz="0" w:space="0" w:color="auto"/>
                    <w:right w:val="none" w:sz="0" w:space="0" w:color="auto"/>
                  </w:divBdr>
                  <w:divsChild>
                    <w:div w:id="490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0771">
      <w:bodyDiv w:val="1"/>
      <w:marLeft w:val="0"/>
      <w:marRight w:val="0"/>
      <w:marTop w:val="0"/>
      <w:marBottom w:val="0"/>
      <w:divBdr>
        <w:top w:val="none" w:sz="0" w:space="0" w:color="auto"/>
        <w:left w:val="none" w:sz="0" w:space="0" w:color="auto"/>
        <w:bottom w:val="none" w:sz="0" w:space="0" w:color="auto"/>
        <w:right w:val="none" w:sz="0" w:space="0" w:color="auto"/>
      </w:divBdr>
      <w:divsChild>
        <w:div w:id="244414153">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sChild>
                <w:div w:id="1845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25645">
      <w:bodyDiv w:val="1"/>
      <w:marLeft w:val="0"/>
      <w:marRight w:val="0"/>
      <w:marTop w:val="0"/>
      <w:marBottom w:val="0"/>
      <w:divBdr>
        <w:top w:val="none" w:sz="0" w:space="0" w:color="auto"/>
        <w:left w:val="none" w:sz="0" w:space="0" w:color="auto"/>
        <w:bottom w:val="none" w:sz="0" w:space="0" w:color="auto"/>
        <w:right w:val="none" w:sz="0" w:space="0" w:color="auto"/>
      </w:divBdr>
      <w:divsChild>
        <w:div w:id="2145150218">
          <w:marLeft w:val="0"/>
          <w:marRight w:val="0"/>
          <w:marTop w:val="0"/>
          <w:marBottom w:val="0"/>
          <w:divBdr>
            <w:top w:val="none" w:sz="0" w:space="0" w:color="auto"/>
            <w:left w:val="none" w:sz="0" w:space="0" w:color="auto"/>
            <w:bottom w:val="none" w:sz="0" w:space="0" w:color="auto"/>
            <w:right w:val="none" w:sz="0" w:space="0" w:color="auto"/>
          </w:divBdr>
          <w:divsChild>
            <w:div w:id="711079299">
              <w:marLeft w:val="0"/>
              <w:marRight w:val="0"/>
              <w:marTop w:val="0"/>
              <w:marBottom w:val="0"/>
              <w:divBdr>
                <w:top w:val="none" w:sz="0" w:space="0" w:color="auto"/>
                <w:left w:val="none" w:sz="0" w:space="0" w:color="auto"/>
                <w:bottom w:val="none" w:sz="0" w:space="0" w:color="auto"/>
                <w:right w:val="none" w:sz="0" w:space="0" w:color="auto"/>
              </w:divBdr>
              <w:divsChild>
                <w:div w:id="2126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6950">
      <w:bodyDiv w:val="1"/>
      <w:marLeft w:val="0"/>
      <w:marRight w:val="0"/>
      <w:marTop w:val="0"/>
      <w:marBottom w:val="0"/>
      <w:divBdr>
        <w:top w:val="none" w:sz="0" w:space="0" w:color="auto"/>
        <w:left w:val="none" w:sz="0" w:space="0" w:color="auto"/>
        <w:bottom w:val="none" w:sz="0" w:space="0" w:color="auto"/>
        <w:right w:val="none" w:sz="0" w:space="0" w:color="auto"/>
      </w:divBdr>
      <w:divsChild>
        <w:div w:id="375468031">
          <w:marLeft w:val="0"/>
          <w:marRight w:val="0"/>
          <w:marTop w:val="0"/>
          <w:marBottom w:val="0"/>
          <w:divBdr>
            <w:top w:val="none" w:sz="0" w:space="0" w:color="auto"/>
            <w:left w:val="none" w:sz="0" w:space="0" w:color="auto"/>
            <w:bottom w:val="none" w:sz="0" w:space="0" w:color="auto"/>
            <w:right w:val="none" w:sz="0" w:space="0" w:color="auto"/>
          </w:divBdr>
          <w:divsChild>
            <w:div w:id="1337734141">
              <w:marLeft w:val="0"/>
              <w:marRight w:val="0"/>
              <w:marTop w:val="0"/>
              <w:marBottom w:val="0"/>
              <w:divBdr>
                <w:top w:val="none" w:sz="0" w:space="0" w:color="auto"/>
                <w:left w:val="none" w:sz="0" w:space="0" w:color="auto"/>
                <w:bottom w:val="none" w:sz="0" w:space="0" w:color="auto"/>
                <w:right w:val="none" w:sz="0" w:space="0" w:color="auto"/>
              </w:divBdr>
              <w:divsChild>
                <w:div w:id="1263763393">
                  <w:marLeft w:val="0"/>
                  <w:marRight w:val="0"/>
                  <w:marTop w:val="0"/>
                  <w:marBottom w:val="0"/>
                  <w:divBdr>
                    <w:top w:val="none" w:sz="0" w:space="0" w:color="auto"/>
                    <w:left w:val="none" w:sz="0" w:space="0" w:color="auto"/>
                    <w:bottom w:val="none" w:sz="0" w:space="0" w:color="auto"/>
                    <w:right w:val="none" w:sz="0" w:space="0" w:color="auto"/>
                  </w:divBdr>
                  <w:divsChild>
                    <w:div w:id="9722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4582">
      <w:marLeft w:val="0"/>
      <w:marRight w:val="0"/>
      <w:marTop w:val="0"/>
      <w:marBottom w:val="0"/>
      <w:divBdr>
        <w:top w:val="none" w:sz="0" w:space="0" w:color="auto"/>
        <w:left w:val="none" w:sz="0" w:space="0" w:color="auto"/>
        <w:bottom w:val="none" w:sz="0" w:space="0" w:color="auto"/>
        <w:right w:val="none" w:sz="0" w:space="0" w:color="auto"/>
      </w:divBdr>
    </w:div>
    <w:div w:id="1324234583">
      <w:marLeft w:val="0"/>
      <w:marRight w:val="0"/>
      <w:marTop w:val="0"/>
      <w:marBottom w:val="0"/>
      <w:divBdr>
        <w:top w:val="none" w:sz="0" w:space="0" w:color="auto"/>
        <w:left w:val="none" w:sz="0" w:space="0" w:color="auto"/>
        <w:bottom w:val="none" w:sz="0" w:space="0" w:color="auto"/>
        <w:right w:val="none" w:sz="0" w:space="0" w:color="auto"/>
      </w:divBdr>
    </w:div>
    <w:div w:id="1374040681">
      <w:bodyDiv w:val="1"/>
      <w:marLeft w:val="0"/>
      <w:marRight w:val="0"/>
      <w:marTop w:val="0"/>
      <w:marBottom w:val="0"/>
      <w:divBdr>
        <w:top w:val="none" w:sz="0" w:space="0" w:color="auto"/>
        <w:left w:val="none" w:sz="0" w:space="0" w:color="auto"/>
        <w:bottom w:val="none" w:sz="0" w:space="0" w:color="auto"/>
        <w:right w:val="none" w:sz="0" w:space="0" w:color="auto"/>
      </w:divBdr>
      <w:divsChild>
        <w:div w:id="1614171570">
          <w:marLeft w:val="0"/>
          <w:marRight w:val="0"/>
          <w:marTop w:val="0"/>
          <w:marBottom w:val="0"/>
          <w:divBdr>
            <w:top w:val="none" w:sz="0" w:space="0" w:color="auto"/>
            <w:left w:val="none" w:sz="0" w:space="0" w:color="auto"/>
            <w:bottom w:val="none" w:sz="0" w:space="0" w:color="auto"/>
            <w:right w:val="none" w:sz="0" w:space="0" w:color="auto"/>
          </w:divBdr>
          <w:divsChild>
            <w:div w:id="705059001">
              <w:marLeft w:val="0"/>
              <w:marRight w:val="0"/>
              <w:marTop w:val="0"/>
              <w:marBottom w:val="0"/>
              <w:divBdr>
                <w:top w:val="none" w:sz="0" w:space="0" w:color="auto"/>
                <w:left w:val="none" w:sz="0" w:space="0" w:color="auto"/>
                <w:bottom w:val="none" w:sz="0" w:space="0" w:color="auto"/>
                <w:right w:val="none" w:sz="0" w:space="0" w:color="auto"/>
              </w:divBdr>
              <w:divsChild>
                <w:div w:id="4046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987">
      <w:bodyDiv w:val="1"/>
      <w:marLeft w:val="0"/>
      <w:marRight w:val="0"/>
      <w:marTop w:val="0"/>
      <w:marBottom w:val="0"/>
      <w:divBdr>
        <w:top w:val="none" w:sz="0" w:space="0" w:color="auto"/>
        <w:left w:val="none" w:sz="0" w:space="0" w:color="auto"/>
        <w:bottom w:val="none" w:sz="0" w:space="0" w:color="auto"/>
        <w:right w:val="none" w:sz="0" w:space="0" w:color="auto"/>
      </w:divBdr>
      <w:divsChild>
        <w:div w:id="1788426126">
          <w:marLeft w:val="0"/>
          <w:marRight w:val="0"/>
          <w:marTop w:val="0"/>
          <w:marBottom w:val="0"/>
          <w:divBdr>
            <w:top w:val="none" w:sz="0" w:space="0" w:color="auto"/>
            <w:left w:val="none" w:sz="0" w:space="0" w:color="auto"/>
            <w:bottom w:val="none" w:sz="0" w:space="0" w:color="auto"/>
            <w:right w:val="none" w:sz="0" w:space="0" w:color="auto"/>
          </w:divBdr>
          <w:divsChild>
            <w:div w:id="1160122268">
              <w:marLeft w:val="0"/>
              <w:marRight w:val="0"/>
              <w:marTop w:val="0"/>
              <w:marBottom w:val="0"/>
              <w:divBdr>
                <w:top w:val="none" w:sz="0" w:space="0" w:color="auto"/>
                <w:left w:val="none" w:sz="0" w:space="0" w:color="auto"/>
                <w:bottom w:val="none" w:sz="0" w:space="0" w:color="auto"/>
                <w:right w:val="none" w:sz="0" w:space="0" w:color="auto"/>
              </w:divBdr>
              <w:divsChild>
                <w:div w:id="707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1213">
      <w:bodyDiv w:val="1"/>
      <w:marLeft w:val="0"/>
      <w:marRight w:val="0"/>
      <w:marTop w:val="0"/>
      <w:marBottom w:val="0"/>
      <w:divBdr>
        <w:top w:val="none" w:sz="0" w:space="0" w:color="auto"/>
        <w:left w:val="none" w:sz="0" w:space="0" w:color="auto"/>
        <w:bottom w:val="none" w:sz="0" w:space="0" w:color="auto"/>
        <w:right w:val="none" w:sz="0" w:space="0" w:color="auto"/>
      </w:divBdr>
      <w:divsChild>
        <w:div w:id="1684168600">
          <w:marLeft w:val="0"/>
          <w:marRight w:val="0"/>
          <w:marTop w:val="0"/>
          <w:marBottom w:val="0"/>
          <w:divBdr>
            <w:top w:val="none" w:sz="0" w:space="0" w:color="auto"/>
            <w:left w:val="none" w:sz="0" w:space="0" w:color="auto"/>
            <w:bottom w:val="none" w:sz="0" w:space="0" w:color="auto"/>
            <w:right w:val="none" w:sz="0" w:space="0" w:color="auto"/>
          </w:divBdr>
          <w:divsChild>
            <w:div w:id="1302074892">
              <w:marLeft w:val="0"/>
              <w:marRight w:val="0"/>
              <w:marTop w:val="0"/>
              <w:marBottom w:val="0"/>
              <w:divBdr>
                <w:top w:val="none" w:sz="0" w:space="0" w:color="auto"/>
                <w:left w:val="none" w:sz="0" w:space="0" w:color="auto"/>
                <w:bottom w:val="none" w:sz="0" w:space="0" w:color="auto"/>
                <w:right w:val="none" w:sz="0" w:space="0" w:color="auto"/>
              </w:divBdr>
              <w:divsChild>
                <w:div w:id="17574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207">
      <w:bodyDiv w:val="1"/>
      <w:marLeft w:val="0"/>
      <w:marRight w:val="0"/>
      <w:marTop w:val="0"/>
      <w:marBottom w:val="0"/>
      <w:divBdr>
        <w:top w:val="none" w:sz="0" w:space="0" w:color="auto"/>
        <w:left w:val="none" w:sz="0" w:space="0" w:color="auto"/>
        <w:bottom w:val="none" w:sz="0" w:space="0" w:color="auto"/>
        <w:right w:val="none" w:sz="0" w:space="0" w:color="auto"/>
      </w:divBdr>
      <w:divsChild>
        <w:div w:id="178550031">
          <w:marLeft w:val="0"/>
          <w:marRight w:val="0"/>
          <w:marTop w:val="0"/>
          <w:marBottom w:val="0"/>
          <w:divBdr>
            <w:top w:val="none" w:sz="0" w:space="0" w:color="auto"/>
            <w:left w:val="none" w:sz="0" w:space="0" w:color="auto"/>
            <w:bottom w:val="none" w:sz="0" w:space="0" w:color="auto"/>
            <w:right w:val="none" w:sz="0" w:space="0" w:color="auto"/>
          </w:divBdr>
          <w:divsChild>
            <w:div w:id="1994942875">
              <w:marLeft w:val="0"/>
              <w:marRight w:val="0"/>
              <w:marTop w:val="0"/>
              <w:marBottom w:val="0"/>
              <w:divBdr>
                <w:top w:val="none" w:sz="0" w:space="0" w:color="auto"/>
                <w:left w:val="none" w:sz="0" w:space="0" w:color="auto"/>
                <w:bottom w:val="none" w:sz="0" w:space="0" w:color="auto"/>
                <w:right w:val="none" w:sz="0" w:space="0" w:color="auto"/>
              </w:divBdr>
              <w:divsChild>
                <w:div w:id="1645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5365">
      <w:bodyDiv w:val="1"/>
      <w:marLeft w:val="0"/>
      <w:marRight w:val="0"/>
      <w:marTop w:val="0"/>
      <w:marBottom w:val="0"/>
      <w:divBdr>
        <w:top w:val="none" w:sz="0" w:space="0" w:color="auto"/>
        <w:left w:val="none" w:sz="0" w:space="0" w:color="auto"/>
        <w:bottom w:val="none" w:sz="0" w:space="0" w:color="auto"/>
        <w:right w:val="none" w:sz="0" w:space="0" w:color="auto"/>
      </w:divBdr>
      <w:divsChild>
        <w:div w:id="720832201">
          <w:marLeft w:val="0"/>
          <w:marRight w:val="0"/>
          <w:marTop w:val="0"/>
          <w:marBottom w:val="0"/>
          <w:divBdr>
            <w:top w:val="none" w:sz="0" w:space="0" w:color="auto"/>
            <w:left w:val="none" w:sz="0" w:space="0" w:color="auto"/>
            <w:bottom w:val="none" w:sz="0" w:space="0" w:color="auto"/>
            <w:right w:val="none" w:sz="0" w:space="0" w:color="auto"/>
          </w:divBdr>
          <w:divsChild>
            <w:div w:id="907761681">
              <w:marLeft w:val="0"/>
              <w:marRight w:val="0"/>
              <w:marTop w:val="0"/>
              <w:marBottom w:val="0"/>
              <w:divBdr>
                <w:top w:val="none" w:sz="0" w:space="0" w:color="auto"/>
                <w:left w:val="none" w:sz="0" w:space="0" w:color="auto"/>
                <w:bottom w:val="none" w:sz="0" w:space="0" w:color="auto"/>
                <w:right w:val="none" w:sz="0" w:space="0" w:color="auto"/>
              </w:divBdr>
              <w:divsChild>
                <w:div w:id="538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c-csc.gc.ca/case-dossier/info/dock-regi-eng.aspx?cas=35201" TargetMode="External"/><Relationship Id="rId20" Type="http://schemas.openxmlformats.org/officeDocument/2006/relationships/hyperlink" Target="http://www.yorku.ca/secretariat/policies/document.php?document=124" TargetMode="External"/><Relationship Id="rId21" Type="http://schemas.openxmlformats.org/officeDocument/2006/relationships/hyperlink" Target="http://www.arts.yorku.ca/caw/" TargetMode="External"/><Relationship Id="rId22" Type="http://schemas.openxmlformats.org/officeDocument/2006/relationships/hyperlink" Target="http://www.yorku.ca/cdc/lsp/lsp_p_and_p.html" TargetMode="External"/><Relationship Id="rId23" Type="http://schemas.openxmlformats.org/officeDocument/2006/relationships/hyperlink" Target="mailto:etutor@yorku.ca"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registrar.yorku.ca/services/petitions/forms.htm" TargetMode="External"/><Relationship Id="rId11" Type="http://schemas.openxmlformats.org/officeDocument/2006/relationships/hyperlink" Target="https://www.law.berkeley.edu/library/robbins/pdf/CommonLawCivilLawTraditions.pdf" TargetMode="External"/><Relationship Id="rId12" Type="http://schemas.openxmlformats.org/officeDocument/2006/relationships/hyperlink" Target="http://www.nullapoena.de/stud/explorers.html" TargetMode="External"/><Relationship Id="rId13" Type="http://schemas.openxmlformats.org/officeDocument/2006/relationships/hyperlink" Target="http://www.clas.ufl.edu/users/llkkll/law&amp;soc/trevino.durkheim.pdf" TargetMode="External"/><Relationship Id="rId14" Type="http://schemas.openxmlformats.org/officeDocument/2006/relationships/hyperlink" Target="http://www.trc.ca/websites/trcinstitution/File/2015/Findings/Survivors_Speak_2015_05_30_web_o.pdf" TargetMode="External"/><Relationship Id="rId15" Type="http://schemas.openxmlformats.org/officeDocument/2006/relationships/hyperlink" Target="http://www.yorku.ca/secretariat/policies/document.php?document=69" TargetMode="External"/><Relationship Id="rId16" Type="http://schemas.openxmlformats.org/officeDocument/2006/relationships/hyperlink" Target="http://www.yorku.ca/academicintegrity" TargetMode="External"/><Relationship Id="rId17" Type="http://schemas.openxmlformats.org/officeDocument/2006/relationships/hyperlink" Target="http://www.yorku.ca/tutorial/academic_integrity/" TargetMode="External"/><Relationship Id="rId18" Type="http://schemas.openxmlformats.org/officeDocument/2006/relationships/hyperlink" Target="http://www.yorku.ca/secretariat/policies/document.php?document=68" TargetMode="External"/><Relationship Id="rId19" Type="http://schemas.openxmlformats.org/officeDocument/2006/relationships/hyperlink" Target="http://www.registrar.yorku.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3110</Words>
  <Characters>17730</Characters>
  <Application>Microsoft Macintosh Word</Application>
  <DocSecurity>0</DocSecurity>
  <Lines>147</Lines>
  <Paragraphs>41</Paragraphs>
  <ScaleCrop>false</ScaleCrop>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abunting</dc:creator>
  <cp:keywords/>
  <dc:description/>
  <cp:lastModifiedBy>Amelie</cp:lastModifiedBy>
  <cp:revision>2</cp:revision>
  <cp:lastPrinted>2011-09-08T12:48:00Z</cp:lastPrinted>
  <dcterms:created xsi:type="dcterms:W3CDTF">2015-09-02T15:46:00Z</dcterms:created>
  <dcterms:modified xsi:type="dcterms:W3CDTF">2015-09-02T15:46:00Z</dcterms:modified>
</cp:coreProperties>
</file>